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F6" w:rsidRPr="00576784" w:rsidRDefault="00763928" w:rsidP="00763928">
      <w:pPr>
        <w:jc w:val="center"/>
        <w:rPr>
          <w:rFonts w:ascii="Arial" w:hAnsi="Arial" w:cs="Arial"/>
          <w:b/>
          <w:color w:val="006600"/>
          <w:sz w:val="36"/>
        </w:rPr>
      </w:pPr>
      <w:r w:rsidRPr="00576784">
        <w:rPr>
          <w:rFonts w:ascii="Arial" w:hAnsi="Arial" w:cs="Arial"/>
          <w:b/>
          <w:color w:val="006600"/>
          <w:sz w:val="36"/>
        </w:rPr>
        <w:t>Etude d’acceptabilité</w:t>
      </w:r>
      <w:r w:rsidR="00B62131">
        <w:rPr>
          <w:rFonts w:ascii="Arial" w:hAnsi="Arial" w:cs="Arial"/>
          <w:b/>
          <w:color w:val="006600"/>
          <w:sz w:val="36"/>
        </w:rPr>
        <w:t xml:space="preserve"> des rejets d’eaux dans le </w:t>
      </w:r>
      <w:r w:rsidRPr="00576784">
        <w:rPr>
          <w:rFonts w:ascii="Arial" w:hAnsi="Arial" w:cs="Arial"/>
          <w:b/>
          <w:color w:val="006600"/>
          <w:sz w:val="36"/>
        </w:rPr>
        <w:t xml:space="preserve">milieu </w:t>
      </w:r>
      <w:r w:rsidRPr="00DD7129">
        <w:rPr>
          <w:rFonts w:ascii="Arial" w:hAnsi="Arial" w:cs="Arial"/>
          <w:b/>
          <w:color w:val="006600"/>
          <w:sz w:val="36"/>
        </w:rPr>
        <w:t xml:space="preserve">récepteur </w:t>
      </w:r>
      <w:r w:rsidR="00DD7129" w:rsidRPr="00DD7129">
        <w:rPr>
          <w:rFonts w:ascii="Arial" w:hAnsi="Arial" w:cs="Arial"/>
          <w:b/>
          <w:color w:val="006600"/>
          <w:sz w:val="36"/>
        </w:rPr>
        <w:t>(l’Aa</w:t>
      </w:r>
      <w:r w:rsidRPr="00DD7129">
        <w:rPr>
          <w:rFonts w:ascii="Arial" w:hAnsi="Arial" w:cs="Arial"/>
          <w:b/>
          <w:color w:val="006600"/>
          <w:sz w:val="36"/>
        </w:rPr>
        <w:t>)</w:t>
      </w:r>
      <w:r w:rsidR="00DD7129">
        <w:rPr>
          <w:rFonts w:ascii="Arial" w:hAnsi="Arial" w:cs="Arial"/>
          <w:b/>
          <w:color w:val="006600"/>
          <w:sz w:val="36"/>
        </w:rPr>
        <w:t xml:space="preserve"> </w:t>
      </w:r>
    </w:p>
    <w:p w:rsidR="00763928" w:rsidRDefault="00763928" w:rsidP="00763928">
      <w:pPr>
        <w:jc w:val="center"/>
        <w:rPr>
          <w:rFonts w:ascii="Arial" w:hAnsi="Arial" w:cs="Arial"/>
          <w:b/>
          <w:sz w:val="36"/>
        </w:rPr>
      </w:pPr>
    </w:p>
    <w:p w:rsidR="00763928" w:rsidRPr="00576784" w:rsidRDefault="00576784" w:rsidP="00576784">
      <w:pPr>
        <w:pStyle w:val="Titre1"/>
      </w:pPr>
      <w:r w:rsidRPr="00576784">
        <w:t>Eaux de surface et SDAGE</w:t>
      </w:r>
    </w:p>
    <w:p w:rsidR="00576784" w:rsidRDefault="00576784" w:rsidP="00C87116">
      <w:pPr>
        <w:pStyle w:val="Titre2"/>
        <w:ind w:left="426" w:hanging="426"/>
      </w:pPr>
      <w:r w:rsidRPr="00576784">
        <w:t>Hydrologie : présentation des cours d’eau, distances, caractéristiques</w:t>
      </w:r>
    </w:p>
    <w:p w:rsidR="00E43045" w:rsidRPr="00E43045" w:rsidRDefault="00E43045" w:rsidP="00E43045">
      <w:pPr>
        <w:spacing w:line="276" w:lineRule="auto"/>
        <w:jc w:val="both"/>
        <w:rPr>
          <w:rFonts w:ascii="Arial" w:hAnsi="Arial" w:cs="Arial"/>
        </w:rPr>
      </w:pPr>
      <w:r w:rsidRPr="00E43045">
        <w:rPr>
          <w:rFonts w:ascii="Arial" w:hAnsi="Arial" w:cs="Arial"/>
        </w:rPr>
        <w:t>Le site rejette trois catégories d’effluents, on distingue les eaux pluviales, les eaux vannes et les eaux industrielles.</w:t>
      </w:r>
    </w:p>
    <w:p w:rsidR="00E43045" w:rsidRPr="00E43045" w:rsidRDefault="00E43045" w:rsidP="00E43045">
      <w:pPr>
        <w:spacing w:line="276" w:lineRule="auto"/>
        <w:jc w:val="both"/>
        <w:rPr>
          <w:rFonts w:ascii="Arial" w:hAnsi="Arial" w:cs="Arial"/>
        </w:rPr>
      </w:pPr>
      <w:r w:rsidRPr="00E43045">
        <w:rPr>
          <w:rFonts w:ascii="Arial" w:hAnsi="Arial" w:cs="Arial"/>
        </w:rPr>
        <w:t>Les eaux vannes sont rejetées dans le réseau de collecte de la ville d’Arques avant d’être traitées dans une station d’épuration du district de Saint-Omer.</w:t>
      </w:r>
    </w:p>
    <w:p w:rsidR="00E43045" w:rsidRPr="00E43045" w:rsidRDefault="00E43045" w:rsidP="00E43045">
      <w:pPr>
        <w:spacing w:line="276" w:lineRule="auto"/>
        <w:jc w:val="both"/>
        <w:rPr>
          <w:rFonts w:ascii="Arial" w:hAnsi="Arial" w:cs="Arial"/>
        </w:rPr>
      </w:pPr>
      <w:r w:rsidRPr="00E43045">
        <w:rPr>
          <w:rFonts w:ascii="Arial" w:hAnsi="Arial" w:cs="Arial"/>
        </w:rPr>
        <w:t xml:space="preserve">Les eaux pluviales sont regroupées dans le bassin d’orage, traitées par décantation, puis rejetées dans le réseau Eaux Pluviales de la société ARC International. Les eaux pluviales susceptibles d’être polluées passent également par un débourbeur avant de rejoindre le réseau d’ARC International puis le canal de </w:t>
      </w:r>
      <w:proofErr w:type="spellStart"/>
      <w:r w:rsidRPr="00E43045">
        <w:rPr>
          <w:rFonts w:ascii="Arial" w:hAnsi="Arial" w:cs="Arial"/>
        </w:rPr>
        <w:t>Neuffossé</w:t>
      </w:r>
      <w:proofErr w:type="spellEnd"/>
      <w:r w:rsidRPr="00E43045">
        <w:rPr>
          <w:rFonts w:ascii="Arial" w:hAnsi="Arial" w:cs="Arial"/>
        </w:rPr>
        <w:t xml:space="preserve">. </w:t>
      </w:r>
    </w:p>
    <w:p w:rsidR="00E43045" w:rsidRPr="00E43045" w:rsidRDefault="00E43045" w:rsidP="00E43045">
      <w:pPr>
        <w:spacing w:line="276" w:lineRule="auto"/>
        <w:jc w:val="both"/>
        <w:rPr>
          <w:rFonts w:ascii="Arial" w:hAnsi="Arial" w:cs="Arial"/>
        </w:rPr>
      </w:pPr>
      <w:r w:rsidRPr="00E43045">
        <w:rPr>
          <w:rFonts w:ascii="Arial" w:hAnsi="Arial" w:cs="Arial"/>
        </w:rPr>
        <w:t xml:space="preserve">Les eaux industrielles sont également dirigées dans le réseau de la société ARC International avant de rejoindre le canal de </w:t>
      </w:r>
      <w:proofErr w:type="spellStart"/>
      <w:r w:rsidRPr="00E43045">
        <w:rPr>
          <w:rFonts w:ascii="Arial" w:hAnsi="Arial" w:cs="Arial"/>
        </w:rPr>
        <w:t>Neuffossé</w:t>
      </w:r>
      <w:proofErr w:type="spellEnd"/>
      <w:r w:rsidRPr="00E43045">
        <w:rPr>
          <w:rFonts w:ascii="Arial" w:hAnsi="Arial" w:cs="Arial"/>
        </w:rPr>
        <w:t>. Les eaux industrielles de refroidissement, avant de rejoindre ce réseau, sont d’abord traitées par décantation puis dégraissage. Il faut noter qu’un débit de rejet maximum est fixé pour les eaux industrielles. Il est de 200 m</w:t>
      </w:r>
      <w:r w:rsidRPr="00E43045">
        <w:rPr>
          <w:rFonts w:ascii="Arial" w:hAnsi="Arial" w:cs="Arial"/>
          <w:vertAlign w:val="superscript"/>
        </w:rPr>
        <w:t>3</w:t>
      </w:r>
      <w:r w:rsidRPr="00E43045">
        <w:rPr>
          <w:rFonts w:ascii="Arial" w:hAnsi="Arial" w:cs="Arial"/>
        </w:rPr>
        <w:t>/j et de 7,9 m</w:t>
      </w:r>
      <w:r w:rsidRPr="00E43045">
        <w:rPr>
          <w:rFonts w:ascii="Arial" w:hAnsi="Arial" w:cs="Arial"/>
          <w:vertAlign w:val="superscript"/>
        </w:rPr>
        <w:t>3</w:t>
      </w:r>
      <w:r w:rsidRPr="00E43045">
        <w:rPr>
          <w:rFonts w:ascii="Arial" w:hAnsi="Arial" w:cs="Arial"/>
        </w:rPr>
        <w:t>/h.</w:t>
      </w:r>
    </w:p>
    <w:p w:rsidR="00576952" w:rsidRDefault="00576952" w:rsidP="00576952">
      <w:pPr>
        <w:jc w:val="both"/>
        <w:rPr>
          <w:rFonts w:ascii="Arial" w:hAnsi="Arial" w:cs="Arial"/>
        </w:rPr>
      </w:pPr>
      <w:r w:rsidRPr="00AF0B75">
        <w:rPr>
          <w:rFonts w:ascii="Arial" w:hAnsi="Arial" w:cs="Arial"/>
        </w:rPr>
        <w:t xml:space="preserve">Il est possible de considérer deux flux en amont du rejet du </w:t>
      </w:r>
      <w:r w:rsidR="00AF0B75" w:rsidRPr="00AF0B75">
        <w:rPr>
          <w:rFonts w:ascii="Arial" w:hAnsi="Arial" w:cs="Arial"/>
        </w:rPr>
        <w:t xml:space="preserve">Canal de </w:t>
      </w:r>
      <w:proofErr w:type="spellStart"/>
      <w:r w:rsidR="00AF0B75" w:rsidRPr="00AF0B75">
        <w:rPr>
          <w:rFonts w:ascii="Arial" w:hAnsi="Arial" w:cs="Arial"/>
        </w:rPr>
        <w:t>Neuffossé</w:t>
      </w:r>
      <w:proofErr w:type="spellEnd"/>
      <w:r w:rsidR="00AF0B75" w:rsidRPr="00AF0B75">
        <w:rPr>
          <w:rFonts w:ascii="Arial" w:hAnsi="Arial" w:cs="Arial"/>
        </w:rPr>
        <w:t xml:space="preserve">. </w:t>
      </w:r>
      <w:r w:rsidRPr="00AF0B75">
        <w:rPr>
          <w:rFonts w:ascii="Arial" w:hAnsi="Arial" w:cs="Arial"/>
        </w:rPr>
        <w:t xml:space="preserve">Tout d’abord </w:t>
      </w:r>
      <w:r w:rsidR="00AF0B75" w:rsidRPr="00AF0B75">
        <w:rPr>
          <w:rFonts w:ascii="Arial" w:hAnsi="Arial" w:cs="Arial"/>
        </w:rPr>
        <w:t xml:space="preserve">l’amont du canal de </w:t>
      </w:r>
      <w:proofErr w:type="spellStart"/>
      <w:r w:rsidR="00AF0B75" w:rsidRPr="00AF0B75">
        <w:rPr>
          <w:rFonts w:ascii="Arial" w:hAnsi="Arial" w:cs="Arial"/>
        </w:rPr>
        <w:t>Neuffossé</w:t>
      </w:r>
      <w:proofErr w:type="spellEnd"/>
      <w:r w:rsidRPr="00AF0B75">
        <w:rPr>
          <w:rFonts w:ascii="Arial" w:hAnsi="Arial" w:cs="Arial"/>
        </w:rPr>
        <w:t xml:space="preserve"> mais également </w:t>
      </w:r>
      <w:r w:rsidR="00AF0B75" w:rsidRPr="00AF0B75">
        <w:rPr>
          <w:rFonts w:ascii="Arial" w:hAnsi="Arial" w:cs="Arial"/>
        </w:rPr>
        <w:t xml:space="preserve">l’Aa rivière, qui se jette dans le canal de </w:t>
      </w:r>
      <w:proofErr w:type="spellStart"/>
      <w:r w:rsidR="00AF0B75" w:rsidRPr="00AF0B75">
        <w:rPr>
          <w:rFonts w:ascii="Arial" w:hAnsi="Arial" w:cs="Arial"/>
        </w:rPr>
        <w:t>Neuffossé</w:t>
      </w:r>
      <w:proofErr w:type="spellEnd"/>
      <w:r w:rsidR="00AF0B75" w:rsidRPr="00AF0B75">
        <w:rPr>
          <w:rFonts w:ascii="Arial" w:hAnsi="Arial" w:cs="Arial"/>
        </w:rPr>
        <w:t>.</w:t>
      </w:r>
    </w:p>
    <w:p w:rsidR="00E24435" w:rsidRDefault="00AD06CE" w:rsidP="00576952">
      <w:pPr>
        <w:jc w:val="both"/>
        <w:rPr>
          <w:rFonts w:ascii="Arial" w:hAnsi="Arial" w:cs="Arial"/>
        </w:rPr>
      </w:pPr>
      <w:r w:rsidRPr="00AD06CE">
        <w:rPr>
          <w:rFonts w:ascii="Arial" w:hAnsi="Arial" w:cs="Arial"/>
        </w:rPr>
        <w:t>La figure ci-après positionne le site par rapport aux cours d’eau à proximité.</w:t>
      </w:r>
      <w:r w:rsidR="00E24435" w:rsidRPr="00E24435">
        <w:rPr>
          <w:rFonts w:ascii="Arial" w:hAnsi="Arial" w:cs="Arial"/>
        </w:rPr>
        <w:t xml:space="preserve"> </w:t>
      </w:r>
    </w:p>
    <w:p w:rsidR="00796218" w:rsidRDefault="00085E57" w:rsidP="00796218">
      <w:pPr>
        <w:keepNext/>
        <w:jc w:val="both"/>
      </w:pPr>
      <w:r w:rsidRPr="00085E57">
        <w:rPr>
          <w:rFonts w:ascii="Arial" w:hAnsi="Arial" w:cs="Arial"/>
          <w:noProof/>
          <w:lang w:eastAsia="fr-FR"/>
        </w:rPr>
        <w:lastRenderedPageBreak/>
        <w:pict>
          <v:shapetype id="_x0000_t32" coordsize="21600,21600" o:spt="32" o:oned="t" path="m,l21600,21600e" filled="f">
            <v:path arrowok="t" fillok="f" o:connecttype="none"/>
            <o:lock v:ext="edit" shapetype="t"/>
          </v:shapetype>
          <v:shape id="_x0000_s1071" type="#_x0000_t32" style="position:absolute;left:0;text-align:left;margin-left:249.75pt;margin-top:118.9pt;width:21.95pt;height:19.05pt;flip:x;z-index:251714560" o:connectortype="straight" strokeweight="1pt">
            <v:stroke endarrow="block"/>
          </v:shape>
        </w:pict>
      </w:r>
      <w:r w:rsidRPr="00085E57">
        <w:rPr>
          <w:rFonts w:ascii="Arial" w:hAnsi="Arial" w:cs="Arial"/>
          <w:noProof/>
          <w:lang w:eastAsia="fr-FR"/>
        </w:rPr>
        <w:pict>
          <v:shapetype id="_x0000_t202" coordsize="21600,21600" o:spt="202" path="m,l,21600r21600,l21600,xe">
            <v:stroke joinstyle="miter"/>
            <v:path gradientshapeok="t" o:connecttype="rect"/>
          </v:shapetype>
          <v:shape id="_x0000_s1064" type="#_x0000_t202" style="position:absolute;left:0;text-align:left;margin-left:346.45pt;margin-top:144.45pt;width:47.25pt;height:28.5pt;z-index:251707392" fillcolor="#9cc2e5 [1944]" strokecolor="#2e74b5 [2408]" strokeweight="1pt">
            <o:extrusion v:ext="view" rotationangle=",-15"/>
            <v:textbox>
              <w:txbxContent>
                <w:p w:rsidR="00D13942" w:rsidRPr="00875B62" w:rsidRDefault="00D13942" w:rsidP="00E24435">
                  <w:pPr>
                    <w:ind w:left="-142" w:right="-106"/>
                    <w:jc w:val="center"/>
                    <w:rPr>
                      <w:rFonts w:ascii="Arial" w:hAnsi="Arial" w:cs="Arial"/>
                      <w:sz w:val="16"/>
                    </w:rPr>
                  </w:pPr>
                  <w:r>
                    <w:rPr>
                      <w:rFonts w:ascii="Arial" w:hAnsi="Arial" w:cs="Arial"/>
                      <w:sz w:val="16"/>
                    </w:rPr>
                    <w:t xml:space="preserve">Canal de </w:t>
                  </w:r>
                  <w:proofErr w:type="spellStart"/>
                  <w:r>
                    <w:rPr>
                      <w:rFonts w:ascii="Arial" w:hAnsi="Arial" w:cs="Arial"/>
                      <w:sz w:val="16"/>
                    </w:rPr>
                    <w:t>Neufossé</w:t>
                  </w:r>
                  <w:proofErr w:type="spellEnd"/>
                  <w:r w:rsidRPr="00875B62">
                    <w:rPr>
                      <w:rFonts w:ascii="Arial" w:hAnsi="Arial" w:cs="Arial"/>
                      <w:sz w:val="16"/>
                    </w:rPr>
                    <w:t xml:space="preserve"> </w:t>
                  </w:r>
                </w:p>
              </w:txbxContent>
            </v:textbox>
          </v:shape>
        </w:pict>
      </w:r>
      <w:r w:rsidRPr="00085E57">
        <w:rPr>
          <w:rFonts w:ascii="Arial" w:hAnsi="Arial" w:cs="Arial"/>
          <w:noProof/>
          <w:lang w:eastAsia="fr-FR"/>
        </w:rPr>
        <w:pict>
          <v:shape id="_x0000_s1060" type="#_x0000_t202" style="position:absolute;left:0;text-align:left;margin-left:245.1pt;margin-top:82.9pt;width:101.35pt;height:41.05pt;z-index:251719680" strokeweight="1pt">
            <v:stroke dashstyle="1 1"/>
            <v:textbox>
              <w:txbxContent>
                <w:p w:rsidR="00D13942" w:rsidRPr="008039D0" w:rsidRDefault="00D13942" w:rsidP="00E24435">
                  <w:pPr>
                    <w:spacing w:after="0"/>
                    <w:ind w:left="-142" w:right="-135"/>
                    <w:jc w:val="center"/>
                    <w:rPr>
                      <w:b/>
                      <w:sz w:val="16"/>
                    </w:rPr>
                  </w:pPr>
                  <w:r w:rsidRPr="005F42A0">
                    <w:rPr>
                      <w:b/>
                      <w:sz w:val="16"/>
                    </w:rPr>
                    <w:t xml:space="preserve">Station de surveillance du Canal de </w:t>
                  </w:r>
                  <w:proofErr w:type="spellStart"/>
                  <w:r>
                    <w:rPr>
                      <w:b/>
                      <w:sz w:val="16"/>
                    </w:rPr>
                    <w:t>Neuffossé</w:t>
                  </w:r>
                  <w:proofErr w:type="spellEnd"/>
                  <w:r>
                    <w:rPr>
                      <w:b/>
                      <w:sz w:val="16"/>
                    </w:rPr>
                    <w:t xml:space="preserve"> à Arques</w:t>
                  </w:r>
                  <w:r w:rsidRPr="008039D0">
                    <w:rPr>
                      <w:b/>
                      <w:sz w:val="16"/>
                    </w:rPr>
                    <w:t xml:space="preserve"> </w:t>
                  </w:r>
                </w:p>
                <w:p w:rsidR="00D13942" w:rsidRPr="008039D0" w:rsidRDefault="00D13942" w:rsidP="00E24435">
                  <w:pPr>
                    <w:spacing w:after="0"/>
                    <w:ind w:left="-142" w:right="-135"/>
                    <w:jc w:val="center"/>
                    <w:rPr>
                      <w:b/>
                      <w:sz w:val="16"/>
                    </w:rPr>
                  </w:pPr>
                  <w:r w:rsidRPr="008039D0">
                    <w:rPr>
                      <w:b/>
                      <w:sz w:val="16"/>
                    </w:rPr>
                    <w:t>N° 01</w:t>
                  </w:r>
                  <w:r>
                    <w:rPr>
                      <w:b/>
                      <w:sz w:val="16"/>
                    </w:rPr>
                    <w:t>10500</w:t>
                  </w:r>
                </w:p>
              </w:txbxContent>
            </v:textbox>
          </v:shape>
        </w:pict>
      </w:r>
      <w:r w:rsidRPr="00085E57">
        <w:rPr>
          <w:rFonts w:ascii="Arial" w:hAnsi="Arial" w:cs="Arial"/>
          <w:noProof/>
          <w:lang w:eastAsia="fr-FR"/>
        </w:rPr>
        <w:pict>
          <v:oval id="_x0000_s1069" style="position:absolute;left:0;text-align:left;margin-left:241.1pt;margin-top:135.1pt;width:11.35pt;height:11.35pt;z-index:251712512" fillcolor="#002060" strokecolor="#002060">
            <v:stroke dashstyle="1 1"/>
          </v:oval>
        </w:pict>
      </w:r>
      <w:r w:rsidRPr="00085E57">
        <w:rPr>
          <w:rFonts w:ascii="Arial" w:hAnsi="Arial" w:cs="Arial"/>
          <w:noProof/>
          <w:lang w:eastAsia="fr-FR"/>
        </w:rPr>
        <w:pict>
          <v:shape id="_x0000_s1065" type="#_x0000_t202" style="position:absolute;left:0;text-align:left;margin-left:115.2pt;margin-top:212.4pt;width:47.25pt;height:15.75pt;z-index:251708416" fillcolor="#9cc2e5 [1944]" strokecolor="#2e74b5 [2408]" strokeweight="1pt">
            <o:extrusion v:ext="view" rotationangle=",-15"/>
            <v:textbox>
              <w:txbxContent>
                <w:p w:rsidR="00D13942" w:rsidRPr="00875B62" w:rsidRDefault="00D13942" w:rsidP="00E24435">
                  <w:pPr>
                    <w:ind w:left="-142" w:right="-106"/>
                    <w:jc w:val="center"/>
                    <w:rPr>
                      <w:rFonts w:ascii="Arial" w:hAnsi="Arial" w:cs="Arial"/>
                      <w:sz w:val="16"/>
                    </w:rPr>
                  </w:pPr>
                  <w:r>
                    <w:rPr>
                      <w:rFonts w:ascii="Arial" w:hAnsi="Arial" w:cs="Arial"/>
                      <w:sz w:val="16"/>
                    </w:rPr>
                    <w:t>L’Aa rivière</w:t>
                  </w:r>
                </w:p>
              </w:txbxContent>
            </v:textbox>
          </v:shape>
        </w:pict>
      </w:r>
      <w:r w:rsidRPr="00085E57">
        <w:rPr>
          <w:rFonts w:ascii="Arial" w:hAnsi="Arial" w:cs="Arial"/>
          <w:noProof/>
          <w:lang w:eastAsia="fr-FR"/>
        </w:rPr>
        <w:pict>
          <v:shape id="_x0000_s1072" type="#_x0000_t202" style="position:absolute;left:0;text-align:left;margin-left:7.7pt;margin-top:137.95pt;width:84pt;height:51.25pt;z-index:251715584" strokeweight="1pt">
            <v:stroke dashstyle="1 1"/>
            <v:textbox>
              <w:txbxContent>
                <w:p w:rsidR="00D13942" w:rsidRPr="008039D0" w:rsidRDefault="00D13942" w:rsidP="00E24435">
                  <w:pPr>
                    <w:spacing w:after="0"/>
                    <w:ind w:left="-142" w:right="-53"/>
                    <w:jc w:val="center"/>
                    <w:rPr>
                      <w:b/>
                      <w:sz w:val="16"/>
                    </w:rPr>
                  </w:pPr>
                  <w:r w:rsidRPr="008039D0">
                    <w:rPr>
                      <w:b/>
                      <w:sz w:val="16"/>
                    </w:rPr>
                    <w:t xml:space="preserve">Station de surveillance de </w:t>
                  </w:r>
                  <w:r>
                    <w:rPr>
                      <w:b/>
                      <w:sz w:val="16"/>
                    </w:rPr>
                    <w:t xml:space="preserve">l’Aa rivière à </w:t>
                  </w:r>
                  <w:proofErr w:type="spellStart"/>
                  <w:r>
                    <w:rPr>
                      <w:b/>
                      <w:sz w:val="16"/>
                    </w:rPr>
                    <w:t>Wizernes</w:t>
                  </w:r>
                  <w:proofErr w:type="spellEnd"/>
                </w:p>
                <w:p w:rsidR="00D13942" w:rsidRPr="008039D0" w:rsidRDefault="00D13942" w:rsidP="00E24435">
                  <w:pPr>
                    <w:spacing w:after="0" w:line="240" w:lineRule="auto"/>
                    <w:ind w:left="-142" w:right="-204"/>
                    <w:jc w:val="center"/>
                    <w:rPr>
                      <w:b/>
                      <w:sz w:val="16"/>
                    </w:rPr>
                  </w:pPr>
                  <w:r w:rsidRPr="008039D0">
                    <w:rPr>
                      <w:b/>
                      <w:sz w:val="16"/>
                    </w:rPr>
                    <w:t>N° 01</w:t>
                  </w:r>
                  <w:r>
                    <w:rPr>
                      <w:b/>
                      <w:sz w:val="16"/>
                    </w:rPr>
                    <w:t>101000</w:t>
                  </w:r>
                </w:p>
              </w:txbxContent>
            </v:textbox>
          </v:shape>
        </w:pict>
      </w:r>
      <w:r w:rsidRPr="00085E57">
        <w:rPr>
          <w:rFonts w:ascii="Arial" w:hAnsi="Arial" w:cs="Arial"/>
          <w:noProof/>
          <w:lang w:eastAsia="fr-FR"/>
        </w:rPr>
        <w:pict>
          <v:shape id="_x0000_s1070" type="#_x0000_t32" style="position:absolute;left:0;text-align:left;margin-left:10.9pt;margin-top:182.8pt;width:23.1pt;height:51.95pt;flip:x;z-index:251713536" o:connectortype="straight" strokeweight="1pt">
            <v:stroke endarrow="block"/>
          </v:shape>
        </w:pict>
      </w:r>
      <w:r w:rsidRPr="00085E57">
        <w:rPr>
          <w:rFonts w:ascii="Arial" w:hAnsi="Arial" w:cs="Arial"/>
          <w:noProof/>
          <w:lang w:eastAsia="fr-FR"/>
        </w:rPr>
        <w:pict>
          <v:oval id="_x0000_s1067" style="position:absolute;left:0;text-align:left;margin-left:3.4pt;margin-top:234.75pt;width:11.35pt;height:11.35pt;z-index:251710464" fillcolor="#002060" strokecolor="#002060">
            <v:stroke dashstyle="1 1"/>
          </v:oval>
        </w:pict>
      </w:r>
      <w:r w:rsidRPr="00085E57">
        <w:rPr>
          <w:rFonts w:ascii="Arial" w:hAnsi="Arial" w:cs="Arial"/>
          <w:noProof/>
          <w:lang w:eastAsia="fr-FR"/>
        </w:rPr>
        <w:pict>
          <v:shape id="_x0000_s1075" type="#_x0000_t202" style="position:absolute;left:0;text-align:left;margin-left:215.95pt;margin-top:22.45pt;width:76.55pt;height:37.4pt;z-index:251718656" fillcolor="#9cc2e5 [1944]" strokecolor="#2e74b5 [2408]" strokeweight="1pt">
            <o:extrusion v:ext="view" rotationangle=",-15"/>
            <v:textbox>
              <w:txbxContent>
                <w:p w:rsidR="00D13942" w:rsidRDefault="00D13942" w:rsidP="00796218">
                  <w:pPr>
                    <w:ind w:left="-142" w:right="-106"/>
                    <w:jc w:val="center"/>
                    <w:rPr>
                      <w:rFonts w:ascii="Arial" w:hAnsi="Arial" w:cs="Arial"/>
                      <w:sz w:val="16"/>
                    </w:rPr>
                  </w:pPr>
                  <w:r>
                    <w:rPr>
                      <w:rFonts w:ascii="Arial" w:hAnsi="Arial" w:cs="Arial"/>
                      <w:sz w:val="16"/>
                    </w:rPr>
                    <w:t xml:space="preserve">Canal de </w:t>
                  </w:r>
                  <w:proofErr w:type="spellStart"/>
                  <w:r>
                    <w:rPr>
                      <w:rFonts w:ascii="Arial" w:hAnsi="Arial" w:cs="Arial"/>
                      <w:sz w:val="16"/>
                    </w:rPr>
                    <w:t>Neuffossé</w:t>
                  </w:r>
                  <w:proofErr w:type="spellEnd"/>
                  <w:r>
                    <w:rPr>
                      <w:rFonts w:ascii="Arial" w:hAnsi="Arial" w:cs="Arial"/>
                      <w:sz w:val="16"/>
                    </w:rPr>
                    <w:t xml:space="preserve"> puis l’Aa, fleuve canalisé</w:t>
                  </w:r>
                </w:p>
                <w:p w:rsidR="00D13942" w:rsidRPr="00875B62" w:rsidRDefault="00D13942" w:rsidP="00796218">
                  <w:pPr>
                    <w:ind w:left="-142" w:right="-106"/>
                    <w:jc w:val="center"/>
                    <w:rPr>
                      <w:rFonts w:ascii="Arial" w:hAnsi="Arial" w:cs="Arial"/>
                      <w:sz w:val="16"/>
                    </w:rPr>
                  </w:pPr>
                </w:p>
              </w:txbxContent>
            </v:textbox>
          </v:shape>
        </w:pict>
      </w:r>
      <w:r w:rsidRPr="00085E57">
        <w:rPr>
          <w:rFonts w:ascii="Arial" w:hAnsi="Arial" w:cs="Arial"/>
          <w:noProof/>
          <w:lang w:eastAsia="fr-FR"/>
        </w:rPr>
        <w:pict>
          <v:shape id="_x0000_s1074" type="#_x0000_t202" style="position:absolute;left:0;text-align:left;margin-left:225.05pt;margin-top:201.75pt;width:54pt;height:18pt;z-index:251717632" fillcolor="white [3212]" strokecolor="black [3213]" strokeweight="1pt">
            <v:textbox>
              <w:txbxContent>
                <w:p w:rsidR="00D13942" w:rsidRPr="00875B62" w:rsidRDefault="00D13942" w:rsidP="00E24435">
                  <w:pPr>
                    <w:ind w:left="-142" w:right="-173"/>
                    <w:jc w:val="center"/>
                    <w:rPr>
                      <w:rFonts w:ascii="Arial" w:hAnsi="Arial" w:cs="Arial"/>
                      <w:b/>
                      <w:sz w:val="16"/>
                    </w:rPr>
                  </w:pPr>
                  <w:proofErr w:type="spellStart"/>
                  <w:r>
                    <w:rPr>
                      <w:rFonts w:ascii="Arial" w:hAnsi="Arial" w:cs="Arial"/>
                      <w:b/>
                      <w:sz w:val="16"/>
                    </w:rPr>
                    <w:t>Alphaglass</w:t>
                  </w:r>
                  <w:proofErr w:type="spellEnd"/>
                </w:p>
              </w:txbxContent>
            </v:textbox>
          </v:shape>
        </w:pict>
      </w:r>
      <w:r w:rsidRPr="00085E57">
        <w:rPr>
          <w:rFonts w:ascii="Arial" w:hAnsi="Arial" w:cs="Arial"/>
          <w:noProof/>
          <w:lang w:eastAsia="fr-FR"/>
        </w:rPr>
        <w:pict>
          <v:oval id="_x0000_s1073" style="position:absolute;left:0;text-align:left;margin-left:263.2pt;margin-top:189.2pt;width:8.5pt;height:8.5pt;rotation:-2091286fd;z-index:251716608" fillcolor="yellow" strokecolor="yellow" strokeweight="2.25pt"/>
        </w:pict>
      </w:r>
      <w:r w:rsidRPr="00085E57">
        <w:rPr>
          <w:rFonts w:ascii="Arial" w:hAnsi="Arial" w:cs="Arial"/>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98.5pt;margin-top:154.3pt;width:40.85pt;height:18.65pt;rotation:12882295fd;z-index:251704320" fillcolor="#0070c0" strokecolor="#002060"/>
        </w:pict>
      </w:r>
      <w:r w:rsidRPr="00085E57">
        <w:rPr>
          <w:rFonts w:ascii="Arial" w:hAnsi="Arial" w:cs="Arial"/>
          <w:noProof/>
          <w:lang w:eastAsia="fr-FR"/>
        </w:rPr>
        <w:pict>
          <v:shape id="_x0000_s1062" type="#_x0000_t13" style="position:absolute;left:0;text-align:left;margin-left:89.65pt;margin-top:197.7pt;width:34.5pt;height:18.9pt;rotation:-2818662fd;z-index:251705344" fillcolor="#0070c0" strokecolor="#002060"/>
        </w:pict>
      </w:r>
      <w:r w:rsidRPr="00085E57">
        <w:rPr>
          <w:rFonts w:ascii="Arial" w:hAnsi="Arial" w:cs="Arial"/>
          <w:noProof/>
          <w:lang w:eastAsia="fr-FR"/>
        </w:rPr>
        <w:pict>
          <v:shape id="_x0000_s1063" type="#_x0000_t13" style="position:absolute;left:0;text-align:left;margin-left:184.3pt;margin-top:39.1pt;width:34.5pt;height:20.05pt;rotation:-6190347fd;z-index:251706368" fillcolor="#0070c0" strokecolor="#002060"/>
        </w:pict>
      </w:r>
      <w:r w:rsidRPr="00085E57">
        <w:rPr>
          <w:rFonts w:ascii="Arial" w:hAnsi="Arial" w:cs="Arial"/>
          <w:noProof/>
          <w:lang w:eastAsia="fr-FR"/>
        </w:rPr>
        <w:pict>
          <v:shape id="_x0000_s1059" type="#_x0000_t32" style="position:absolute;left:0;text-align:left;margin-left:10.9pt;margin-top:277.9pt;width:42pt;height:0;flip:y;z-index:251702272" o:connectortype="straight" strokeweight="3pt"/>
        </w:pict>
      </w:r>
      <w:r w:rsidRPr="00085E57">
        <w:rPr>
          <w:rFonts w:ascii="Arial" w:hAnsi="Arial" w:cs="Arial"/>
          <w:noProof/>
          <w:lang w:eastAsia="fr-FR"/>
        </w:rPr>
        <w:pict>
          <v:shape id="_x0000_s1058" type="#_x0000_t202" style="position:absolute;left:0;text-align:left;margin-left:3.4pt;margin-top:267.4pt;width:93pt;height:19.5pt;z-index:251701248">
            <v:textbox>
              <w:txbxContent>
                <w:p w:rsidR="00D13942" w:rsidRPr="00E24435" w:rsidRDefault="00D13942" w:rsidP="00E24435">
                  <w:pPr>
                    <w:jc w:val="right"/>
                    <w:rPr>
                      <w:sz w:val="18"/>
                    </w:rPr>
                  </w:pPr>
                  <w:r w:rsidRPr="00E24435">
                    <w:rPr>
                      <w:sz w:val="18"/>
                    </w:rPr>
                    <w:t>1000 m</w:t>
                  </w:r>
                </w:p>
              </w:txbxContent>
            </v:textbox>
          </v:shape>
        </w:pict>
      </w:r>
      <w:r w:rsidR="00E24435">
        <w:rPr>
          <w:rFonts w:ascii="Arial" w:hAnsi="Arial" w:cs="Arial"/>
          <w:noProof/>
          <w:lang w:eastAsia="fr-FR"/>
        </w:rPr>
        <w:drawing>
          <wp:inline distT="0" distB="0" distL="0" distR="0">
            <wp:extent cx="5762625" cy="36957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6727"/>
                    <a:stretch>
                      <a:fillRect/>
                    </a:stretch>
                  </pic:blipFill>
                  <pic:spPr bwMode="auto">
                    <a:xfrm>
                      <a:off x="0" y="0"/>
                      <a:ext cx="5762625" cy="3695700"/>
                    </a:xfrm>
                    <a:prstGeom prst="rect">
                      <a:avLst/>
                    </a:prstGeom>
                    <a:noFill/>
                    <a:ln w="9525">
                      <a:noFill/>
                      <a:miter lim="800000"/>
                      <a:headEnd/>
                      <a:tailEnd/>
                    </a:ln>
                  </pic:spPr>
                </pic:pic>
              </a:graphicData>
            </a:graphic>
          </wp:inline>
        </w:drawing>
      </w:r>
    </w:p>
    <w:p w:rsidR="00E24435" w:rsidRPr="00AD06CE" w:rsidRDefault="00796218" w:rsidP="00796218">
      <w:pPr>
        <w:pStyle w:val="Lgende"/>
      </w:pPr>
      <w:r>
        <w:t xml:space="preserve">Figure </w:t>
      </w:r>
      <w:fldSimple w:instr=" SEQ Figure \* ARABIC ">
        <w:r>
          <w:rPr>
            <w:noProof/>
          </w:rPr>
          <w:t>1</w:t>
        </w:r>
      </w:fldSimple>
      <w:r>
        <w:t xml:space="preserve"> : Réseau hydrographique et stations de surveillances à proximité du site</w:t>
      </w:r>
    </w:p>
    <w:p w:rsidR="00875B62" w:rsidRPr="00565EE4" w:rsidRDefault="00085E57" w:rsidP="00875B62">
      <w:pPr>
        <w:keepNext/>
        <w:jc w:val="center"/>
        <w:rPr>
          <w:highlight w:val="yellow"/>
        </w:rPr>
      </w:pPr>
      <w:r w:rsidRPr="00085E57">
        <w:rPr>
          <w:rFonts w:ascii="Times New Roman" w:hAnsi="Times New Roman" w:cs="Times New Roman"/>
          <w:sz w:val="24"/>
          <w:szCs w:val="24"/>
          <w:highlight w:val="yellow"/>
        </w:rPr>
        <w:pict>
          <v:shape id="_x0000_s1046" type="#_x0000_t202" style="position:absolute;left:0;text-align:left;margin-left:650.25pt;margin-top:87pt;width:78.75pt;height:43.5pt;z-index:251687936" strokeweight="1pt">
            <v:stroke dashstyle="1 1"/>
            <v:textbox>
              <w:txbxContent>
                <w:p w:rsidR="00D13942" w:rsidRDefault="00D13942" w:rsidP="00875B62">
                  <w:pPr>
                    <w:jc w:val="center"/>
                    <w:rPr>
                      <w:b/>
                      <w:sz w:val="16"/>
                    </w:rPr>
                  </w:pPr>
                  <w:r>
                    <w:rPr>
                      <w:b/>
                      <w:sz w:val="16"/>
                    </w:rPr>
                    <w:t xml:space="preserve">Station de surveillance de </w:t>
                  </w:r>
                  <w:proofErr w:type="spellStart"/>
                  <w:r>
                    <w:rPr>
                      <w:b/>
                      <w:sz w:val="16"/>
                    </w:rPr>
                    <w:t>Fampoux</w:t>
                  </w:r>
                  <w:proofErr w:type="spellEnd"/>
                </w:p>
                <w:p w:rsidR="00D13942" w:rsidRDefault="00D13942" w:rsidP="00875B62">
                  <w:pPr>
                    <w:jc w:val="center"/>
                    <w:rPr>
                      <w:b/>
                      <w:sz w:val="16"/>
                    </w:rPr>
                  </w:pPr>
                  <w:r>
                    <w:rPr>
                      <w:b/>
                      <w:sz w:val="16"/>
                    </w:rPr>
                    <w:t>(</w:t>
                  </w:r>
                  <w:proofErr w:type="gramStart"/>
                  <w:r>
                    <w:rPr>
                      <w:b/>
                      <w:sz w:val="16"/>
                    </w:rPr>
                    <w:t>n</w:t>
                  </w:r>
                  <w:proofErr w:type="gramEnd"/>
                  <w:r>
                    <w:rPr>
                      <w:b/>
                      <w:sz w:val="16"/>
                    </w:rPr>
                    <w:t>° 01036000)</w:t>
                  </w:r>
                </w:p>
              </w:txbxContent>
            </v:textbox>
          </v:shape>
        </w:pict>
      </w:r>
      <w:r w:rsidRPr="00085E57">
        <w:rPr>
          <w:rFonts w:ascii="Times New Roman" w:hAnsi="Times New Roman" w:cs="Times New Roman"/>
          <w:sz w:val="24"/>
          <w:szCs w:val="24"/>
          <w:highlight w:val="yellow"/>
        </w:rPr>
        <w:pict>
          <v:oval id="_x0000_s1043" style="position:absolute;left:0;text-align:left;margin-left:662.9pt;margin-top:174.5pt;width:11.35pt;height:11.35pt;z-index:251683840" fillcolor="#002060" strokecolor="#002060">
            <v:stroke dashstyle="1 1"/>
          </v:oval>
        </w:pict>
      </w:r>
      <w:r w:rsidR="00875B62" w:rsidRPr="00565EE4">
        <w:rPr>
          <w:rFonts w:ascii="Times New Roman" w:hAnsi="Times New Roman" w:cs="Times New Roman"/>
          <w:sz w:val="24"/>
          <w:szCs w:val="24"/>
          <w:highlight w:val="yellow"/>
        </w:rPr>
        <w:t xml:space="preserve"> </w:t>
      </w:r>
      <w:r w:rsidRPr="00085E57">
        <w:rPr>
          <w:rFonts w:ascii="Times New Roman" w:hAnsi="Times New Roman" w:cs="Times New Roman"/>
          <w:sz w:val="24"/>
          <w:szCs w:val="24"/>
          <w:highlight w:val="yellow"/>
        </w:rPr>
        <w:pict>
          <v:shape id="_x0000_s1030" type="#_x0000_t202" style="position:absolute;left:0;text-align:left;margin-left:542.25pt;margin-top:147.75pt;width:60.75pt;height:31.5pt;z-index:251666432;mso-position-horizontal-relative:text;mso-position-vertical-relative:text" fillcolor="#9cc2e5 [1944]" strokecolor="#2e74b5 [2408]" strokeweight="1pt">
            <o:extrusion v:ext="view" rotationangle=",-15"/>
            <v:textbox>
              <w:txbxContent>
                <w:p w:rsidR="00D13942" w:rsidRDefault="00D13942" w:rsidP="00875B62">
                  <w:pPr>
                    <w:ind w:left="-142" w:right="-106"/>
                    <w:jc w:val="center"/>
                    <w:rPr>
                      <w:sz w:val="20"/>
                    </w:rPr>
                  </w:pPr>
                  <w:r>
                    <w:rPr>
                      <w:sz w:val="20"/>
                    </w:rPr>
                    <w:t>La Scarpe canalisée</w:t>
                  </w:r>
                </w:p>
                <w:p w:rsidR="00D13942" w:rsidRDefault="00D13942" w:rsidP="00875B62">
                  <w:pPr>
                    <w:ind w:left="-142" w:right="-106"/>
                    <w:jc w:val="center"/>
                    <w:rPr>
                      <w:sz w:val="20"/>
                    </w:rPr>
                  </w:pPr>
                </w:p>
              </w:txbxContent>
            </v:textbox>
          </v:shape>
        </w:pict>
      </w:r>
      <w:r w:rsidR="00875B62" w:rsidRPr="00565EE4">
        <w:rPr>
          <w:rFonts w:ascii="Times New Roman" w:hAnsi="Times New Roman" w:cs="Times New Roman"/>
          <w:sz w:val="24"/>
          <w:szCs w:val="24"/>
          <w:highlight w:val="yellow"/>
        </w:rPr>
        <w:t xml:space="preserve"> </w:t>
      </w:r>
      <w:r w:rsidRPr="00085E57">
        <w:rPr>
          <w:rFonts w:ascii="Times New Roman" w:hAnsi="Times New Roman" w:cs="Times New Roman"/>
          <w:sz w:val="24"/>
          <w:szCs w:val="24"/>
          <w:highlight w:val="yellow"/>
        </w:rPr>
        <w:pict>
          <v:shape id="_x0000_s1047" type="#_x0000_t202" style="position:absolute;left:0;text-align:left;margin-left:650.25pt;margin-top:87pt;width:78.75pt;height:43.5pt;z-index:251689984;mso-position-horizontal-relative:text;mso-position-vertical-relative:text" strokeweight="1pt">
            <v:stroke dashstyle="1 1"/>
            <v:textbox>
              <w:txbxContent>
                <w:p w:rsidR="00D13942" w:rsidRDefault="00D13942" w:rsidP="00875B62">
                  <w:pPr>
                    <w:jc w:val="center"/>
                    <w:rPr>
                      <w:b/>
                      <w:sz w:val="16"/>
                    </w:rPr>
                  </w:pPr>
                  <w:r>
                    <w:rPr>
                      <w:b/>
                      <w:sz w:val="16"/>
                    </w:rPr>
                    <w:t xml:space="preserve">Station de surveillance de </w:t>
                  </w:r>
                  <w:proofErr w:type="spellStart"/>
                  <w:r>
                    <w:rPr>
                      <w:b/>
                      <w:sz w:val="16"/>
                    </w:rPr>
                    <w:t>Fampoux</w:t>
                  </w:r>
                  <w:proofErr w:type="spellEnd"/>
                </w:p>
                <w:p w:rsidR="00D13942" w:rsidRDefault="00D13942" w:rsidP="00875B62">
                  <w:pPr>
                    <w:jc w:val="center"/>
                    <w:rPr>
                      <w:b/>
                      <w:sz w:val="16"/>
                    </w:rPr>
                  </w:pPr>
                  <w:r>
                    <w:rPr>
                      <w:b/>
                      <w:sz w:val="16"/>
                    </w:rPr>
                    <w:t>(</w:t>
                  </w:r>
                  <w:proofErr w:type="gramStart"/>
                  <w:r>
                    <w:rPr>
                      <w:b/>
                      <w:sz w:val="16"/>
                    </w:rPr>
                    <w:t>n</w:t>
                  </w:r>
                  <w:proofErr w:type="gramEnd"/>
                  <w:r>
                    <w:rPr>
                      <w:b/>
                      <w:sz w:val="16"/>
                    </w:rPr>
                    <w:t>° 01036000)</w:t>
                  </w:r>
                </w:p>
              </w:txbxContent>
            </v:textbox>
          </v:shape>
        </w:pict>
      </w:r>
    </w:p>
    <w:p w:rsidR="008039D0" w:rsidRDefault="008039D0" w:rsidP="008039D0">
      <w:pPr>
        <w:jc w:val="both"/>
        <w:rPr>
          <w:rFonts w:ascii="Arial" w:hAnsi="Arial" w:cs="Arial"/>
        </w:rPr>
      </w:pPr>
      <w:r w:rsidRPr="00AF0B75">
        <w:rPr>
          <w:rFonts w:ascii="Arial" w:hAnsi="Arial" w:cs="Arial"/>
        </w:rPr>
        <w:t>Le tableau suivant indique les valeurs de débits de réf</w:t>
      </w:r>
      <w:r w:rsidR="003310C5" w:rsidRPr="00AF0B75">
        <w:rPr>
          <w:rFonts w:ascii="Arial" w:hAnsi="Arial" w:cs="Arial"/>
        </w:rPr>
        <w:t xml:space="preserve">érence estimées </w:t>
      </w:r>
      <w:r w:rsidR="00AF0B75" w:rsidRPr="00AF0B75">
        <w:rPr>
          <w:rFonts w:ascii="Arial" w:hAnsi="Arial" w:cs="Arial"/>
        </w:rPr>
        <w:t xml:space="preserve">à la station de surveillance du Canal de </w:t>
      </w:r>
      <w:proofErr w:type="spellStart"/>
      <w:r w:rsidR="00AF0B75" w:rsidRPr="00AF0B75">
        <w:rPr>
          <w:rFonts w:ascii="Arial" w:hAnsi="Arial" w:cs="Arial"/>
        </w:rPr>
        <w:t>Neuffossé</w:t>
      </w:r>
      <w:proofErr w:type="spellEnd"/>
      <w:r w:rsidR="00AF0B75" w:rsidRPr="00AF0B75">
        <w:rPr>
          <w:rFonts w:ascii="Arial" w:hAnsi="Arial" w:cs="Arial"/>
        </w:rPr>
        <w:t xml:space="preserve"> n°0110500 (aval) </w:t>
      </w:r>
      <w:r w:rsidRPr="00AF0B75">
        <w:rPr>
          <w:rFonts w:ascii="Arial" w:hAnsi="Arial" w:cs="Arial"/>
        </w:rPr>
        <w:t>qui ser</w:t>
      </w:r>
      <w:r w:rsidR="00AF0B75" w:rsidRPr="00AF0B75">
        <w:rPr>
          <w:rFonts w:ascii="Arial" w:hAnsi="Arial" w:cs="Arial"/>
        </w:rPr>
        <w:t>a utilisé</w:t>
      </w:r>
      <w:r w:rsidRPr="00AF0B75">
        <w:rPr>
          <w:rFonts w:ascii="Arial" w:hAnsi="Arial" w:cs="Arial"/>
        </w:rPr>
        <w:t xml:space="preserve"> pour étudier l’incidence des rejets.</w:t>
      </w:r>
      <w:r>
        <w:rPr>
          <w:rFonts w:ascii="Arial" w:hAnsi="Arial" w:cs="Arial"/>
        </w:rPr>
        <w:t xml:space="preserve"> </w:t>
      </w:r>
    </w:p>
    <w:p w:rsidR="008039D0" w:rsidRDefault="008039D0" w:rsidP="00AF0B75">
      <w:pPr>
        <w:pStyle w:val="Lgende"/>
        <w:keepNext/>
        <w:spacing w:after="0"/>
      </w:pPr>
      <w:r>
        <w:t xml:space="preserve">Tableau </w:t>
      </w:r>
      <w:fldSimple w:instr=" SEQ Tableau \* ARABIC ">
        <w:r w:rsidR="00B12F45">
          <w:rPr>
            <w:noProof/>
          </w:rPr>
          <w:t>1</w:t>
        </w:r>
      </w:fldSimple>
      <w:r>
        <w:t xml:space="preserve"> : Débit de référence estimé à proximité du site</w:t>
      </w:r>
    </w:p>
    <w:tbl>
      <w:tblPr>
        <w:tblStyle w:val="Grilledutableau"/>
        <w:tblW w:w="2118" w:type="pct"/>
        <w:jc w:val="center"/>
        <w:tblLook w:val="04A0"/>
      </w:tblPr>
      <w:tblGrid>
        <w:gridCol w:w="1257"/>
        <w:gridCol w:w="2677"/>
      </w:tblGrid>
      <w:tr w:rsidR="00AF0B75" w:rsidTr="00AF0B75">
        <w:trPr>
          <w:trHeight w:val="642"/>
          <w:jc w:val="center"/>
        </w:trPr>
        <w:tc>
          <w:tcPr>
            <w:tcW w:w="159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AF0B75" w:rsidRDefault="00AF0B75">
            <w:pPr>
              <w:jc w:val="center"/>
              <w:textAlignment w:val="baseline"/>
              <w:rPr>
                <w:rFonts w:ascii="Arial" w:hAnsi="Arial" w:cs="Arial"/>
                <w:b/>
                <w:color w:val="FFFFFF" w:themeColor="background1"/>
                <w:sz w:val="18"/>
              </w:rPr>
            </w:pPr>
            <w:r>
              <w:rPr>
                <w:b/>
                <w:color w:val="FFFFFF" w:themeColor="background1"/>
                <w:sz w:val="18"/>
              </w:rPr>
              <w:t>Débit de référence estimé</w:t>
            </w:r>
          </w:p>
        </w:tc>
        <w:tc>
          <w:tcPr>
            <w:tcW w:w="3402"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AF0B75" w:rsidRPr="00AF0B75" w:rsidRDefault="00AF0B75" w:rsidP="00AF0B75">
            <w:pPr>
              <w:jc w:val="center"/>
              <w:textAlignment w:val="baseline"/>
              <w:rPr>
                <w:rFonts w:ascii="Arial" w:hAnsi="Arial" w:cs="Arial"/>
                <w:b/>
                <w:color w:val="FFFFFF" w:themeColor="background1"/>
                <w:sz w:val="18"/>
              </w:rPr>
            </w:pPr>
            <w:r w:rsidRPr="00AF0B75">
              <w:rPr>
                <w:b/>
                <w:color w:val="FFFFFF" w:themeColor="background1"/>
                <w:sz w:val="18"/>
              </w:rPr>
              <w:t>Station de surveillance</w:t>
            </w:r>
          </w:p>
          <w:p w:rsidR="00AF0B75" w:rsidRPr="00AF0B75" w:rsidRDefault="00AF0B75" w:rsidP="00AF0B75">
            <w:pPr>
              <w:jc w:val="center"/>
              <w:textAlignment w:val="baseline"/>
              <w:rPr>
                <w:b/>
                <w:color w:val="FFFFFF" w:themeColor="background1"/>
                <w:sz w:val="18"/>
              </w:rPr>
            </w:pPr>
            <w:r w:rsidRPr="00AF0B75">
              <w:rPr>
                <w:b/>
                <w:color w:val="FFFFFF" w:themeColor="background1"/>
                <w:sz w:val="18"/>
              </w:rPr>
              <w:t xml:space="preserve">du Canal de </w:t>
            </w:r>
            <w:proofErr w:type="spellStart"/>
            <w:r w:rsidRPr="00AF0B75">
              <w:rPr>
                <w:b/>
                <w:color w:val="FFFFFF" w:themeColor="background1"/>
                <w:sz w:val="18"/>
              </w:rPr>
              <w:t>Neuffossé</w:t>
            </w:r>
            <w:proofErr w:type="spellEnd"/>
            <w:r w:rsidRPr="00AF0B75">
              <w:rPr>
                <w:b/>
                <w:color w:val="FFFFFF" w:themeColor="background1"/>
                <w:sz w:val="18"/>
              </w:rPr>
              <w:t xml:space="preserve"> à Arques</w:t>
            </w:r>
          </w:p>
          <w:p w:rsidR="00AF0B75" w:rsidRPr="00565EE4" w:rsidRDefault="00AF0B75" w:rsidP="00AF0B75">
            <w:pPr>
              <w:jc w:val="center"/>
              <w:textAlignment w:val="baseline"/>
              <w:rPr>
                <w:rFonts w:ascii="Arial" w:hAnsi="Arial" w:cs="Arial"/>
                <w:b/>
                <w:color w:val="FFFFFF" w:themeColor="background1"/>
                <w:sz w:val="18"/>
                <w:highlight w:val="yellow"/>
              </w:rPr>
            </w:pPr>
            <w:r w:rsidRPr="00AF0B75">
              <w:rPr>
                <w:b/>
                <w:color w:val="FFFFFF" w:themeColor="background1"/>
                <w:sz w:val="18"/>
              </w:rPr>
              <w:t>(n° 0110500)</w:t>
            </w:r>
          </w:p>
        </w:tc>
      </w:tr>
      <w:tr w:rsidR="00AF0B75" w:rsidTr="00AF0B75">
        <w:trPr>
          <w:jc w:val="center"/>
        </w:trPr>
        <w:tc>
          <w:tcPr>
            <w:tcW w:w="159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AF0B75" w:rsidRDefault="00AF0B75">
            <w:pPr>
              <w:jc w:val="center"/>
              <w:textAlignment w:val="baseline"/>
              <w:rPr>
                <w:rFonts w:ascii="Arial" w:hAnsi="Arial" w:cs="Arial"/>
                <w:b/>
                <w:color w:val="FFFFFF" w:themeColor="background1"/>
                <w:sz w:val="18"/>
              </w:rPr>
            </w:pPr>
            <w:r>
              <w:rPr>
                <w:b/>
                <w:color w:val="FFFFFF" w:themeColor="background1"/>
                <w:sz w:val="18"/>
              </w:rPr>
              <w:t>m</w:t>
            </w:r>
            <w:r>
              <w:rPr>
                <w:b/>
                <w:color w:val="FFFFFF" w:themeColor="background1"/>
                <w:sz w:val="18"/>
                <w:vertAlign w:val="superscript"/>
              </w:rPr>
              <w:t>3</w:t>
            </w:r>
            <w:r>
              <w:rPr>
                <w:b/>
                <w:color w:val="FFFFFF" w:themeColor="background1"/>
                <w:sz w:val="18"/>
              </w:rPr>
              <w:t>/s</w:t>
            </w:r>
          </w:p>
        </w:tc>
        <w:tc>
          <w:tcPr>
            <w:tcW w:w="3402" w:type="pct"/>
            <w:tcBorders>
              <w:top w:val="single" w:sz="4" w:space="0" w:color="auto"/>
              <w:left w:val="single" w:sz="4" w:space="0" w:color="auto"/>
              <w:bottom w:val="single" w:sz="4" w:space="0" w:color="auto"/>
              <w:right w:val="single" w:sz="4" w:space="0" w:color="auto"/>
            </w:tcBorders>
            <w:vAlign w:val="center"/>
            <w:hideMark/>
          </w:tcPr>
          <w:p w:rsidR="00AF0B75" w:rsidRPr="004018B8" w:rsidRDefault="004018B8">
            <w:pPr>
              <w:jc w:val="center"/>
              <w:textAlignment w:val="baseline"/>
              <w:rPr>
                <w:rFonts w:ascii="Arial" w:hAnsi="Arial" w:cs="Arial"/>
                <w:sz w:val="18"/>
              </w:rPr>
            </w:pPr>
            <w:r w:rsidRPr="004018B8">
              <w:rPr>
                <w:sz w:val="18"/>
              </w:rPr>
              <w:t>5</w:t>
            </w:r>
          </w:p>
        </w:tc>
      </w:tr>
      <w:tr w:rsidR="00AF0B75" w:rsidTr="00AF0B75">
        <w:trPr>
          <w:jc w:val="center"/>
        </w:trPr>
        <w:tc>
          <w:tcPr>
            <w:tcW w:w="159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AF0B75" w:rsidRDefault="00AF0B75">
            <w:pPr>
              <w:jc w:val="center"/>
              <w:textAlignment w:val="baseline"/>
              <w:rPr>
                <w:rFonts w:ascii="Arial" w:hAnsi="Arial" w:cs="Arial"/>
                <w:b/>
                <w:color w:val="FFFFFF" w:themeColor="background1"/>
                <w:sz w:val="18"/>
              </w:rPr>
            </w:pPr>
            <w:r>
              <w:rPr>
                <w:b/>
                <w:color w:val="FFFFFF" w:themeColor="background1"/>
                <w:sz w:val="18"/>
              </w:rPr>
              <w:t>m</w:t>
            </w:r>
            <w:r>
              <w:rPr>
                <w:b/>
                <w:color w:val="FFFFFF" w:themeColor="background1"/>
                <w:sz w:val="18"/>
                <w:vertAlign w:val="superscript"/>
              </w:rPr>
              <w:t>3</w:t>
            </w:r>
            <w:r>
              <w:rPr>
                <w:b/>
                <w:color w:val="FFFFFF" w:themeColor="background1"/>
                <w:sz w:val="18"/>
              </w:rPr>
              <w:t>/j</w:t>
            </w:r>
          </w:p>
        </w:tc>
        <w:tc>
          <w:tcPr>
            <w:tcW w:w="3402" w:type="pct"/>
            <w:tcBorders>
              <w:top w:val="single" w:sz="4" w:space="0" w:color="auto"/>
              <w:left w:val="single" w:sz="4" w:space="0" w:color="auto"/>
              <w:bottom w:val="single" w:sz="4" w:space="0" w:color="auto"/>
              <w:right w:val="single" w:sz="4" w:space="0" w:color="auto"/>
            </w:tcBorders>
            <w:vAlign w:val="center"/>
            <w:hideMark/>
          </w:tcPr>
          <w:p w:rsidR="00AF0B75" w:rsidRPr="004018B8" w:rsidRDefault="004018B8" w:rsidP="004018B8">
            <w:pPr>
              <w:jc w:val="center"/>
              <w:textAlignment w:val="baseline"/>
              <w:rPr>
                <w:rFonts w:ascii="Arial" w:hAnsi="Arial" w:cs="Arial"/>
                <w:sz w:val="18"/>
              </w:rPr>
            </w:pPr>
            <w:r>
              <w:rPr>
                <w:sz w:val="18"/>
              </w:rPr>
              <w:t>432 0</w:t>
            </w:r>
            <w:r w:rsidR="00AF0B75" w:rsidRPr="004018B8">
              <w:rPr>
                <w:sz w:val="18"/>
              </w:rPr>
              <w:t>00</w:t>
            </w:r>
          </w:p>
        </w:tc>
      </w:tr>
    </w:tbl>
    <w:p w:rsidR="008039D0" w:rsidRDefault="008039D0" w:rsidP="008039D0"/>
    <w:p w:rsidR="00576784" w:rsidRDefault="00576784" w:rsidP="00C70317">
      <w:pPr>
        <w:pStyle w:val="Titre2"/>
        <w:spacing w:after="0"/>
        <w:ind w:left="425" w:hanging="425"/>
        <w:contextualSpacing w:val="0"/>
      </w:pPr>
      <w:r>
        <w:t>Qualité des eaux de surface</w:t>
      </w:r>
    </w:p>
    <w:p w:rsidR="00C70317" w:rsidRDefault="00C70317" w:rsidP="00C70317">
      <w:pPr>
        <w:spacing w:after="0"/>
        <w:jc w:val="both"/>
        <w:rPr>
          <w:rFonts w:ascii="Arial" w:hAnsi="Arial" w:cs="Arial"/>
        </w:rPr>
      </w:pPr>
    </w:p>
    <w:p w:rsidR="00565EE4" w:rsidRPr="00E43045" w:rsidRDefault="00565EE4" w:rsidP="00565EE4">
      <w:pPr>
        <w:spacing w:line="276" w:lineRule="auto"/>
        <w:jc w:val="both"/>
        <w:rPr>
          <w:rFonts w:ascii="Arial" w:hAnsi="Arial" w:cs="Arial"/>
        </w:rPr>
      </w:pPr>
      <w:r w:rsidRPr="00E43045">
        <w:rPr>
          <w:rFonts w:ascii="Arial" w:hAnsi="Arial" w:cs="Arial"/>
        </w:rPr>
        <w:t xml:space="preserve">Les eaux pluviales sont regroupées dans le bassin d’orage, traitées par décantation, puis rejetées dans le réseau Eaux Pluviales de la société ARC International. Les eaux pluviales susceptibles d’être polluées passent également par un débourbeur avant de rejoindre le réseau d’ARC International puis le canal de </w:t>
      </w:r>
      <w:proofErr w:type="spellStart"/>
      <w:r w:rsidRPr="00E43045">
        <w:rPr>
          <w:rFonts w:ascii="Arial" w:hAnsi="Arial" w:cs="Arial"/>
        </w:rPr>
        <w:t>Neuffossé</w:t>
      </w:r>
      <w:proofErr w:type="spellEnd"/>
      <w:r w:rsidRPr="00E43045">
        <w:rPr>
          <w:rFonts w:ascii="Arial" w:hAnsi="Arial" w:cs="Arial"/>
        </w:rPr>
        <w:t xml:space="preserve">. </w:t>
      </w:r>
    </w:p>
    <w:p w:rsidR="00C70317" w:rsidRDefault="00565EE4" w:rsidP="00565EE4">
      <w:pPr>
        <w:spacing w:after="0"/>
        <w:jc w:val="both"/>
        <w:rPr>
          <w:rFonts w:ascii="Arial" w:hAnsi="Arial" w:cs="Arial"/>
        </w:rPr>
      </w:pPr>
      <w:r w:rsidRPr="00E43045">
        <w:rPr>
          <w:rFonts w:ascii="Arial" w:hAnsi="Arial" w:cs="Arial"/>
        </w:rPr>
        <w:t xml:space="preserve">Les eaux industrielles sont également dirigées dans le réseau de la société ARC International avant de rejoindre le canal de </w:t>
      </w:r>
      <w:proofErr w:type="spellStart"/>
      <w:r w:rsidRPr="00E43045">
        <w:rPr>
          <w:rFonts w:ascii="Arial" w:hAnsi="Arial" w:cs="Arial"/>
        </w:rPr>
        <w:t>Neuffossé</w:t>
      </w:r>
      <w:proofErr w:type="spellEnd"/>
      <w:r w:rsidRPr="00E43045">
        <w:rPr>
          <w:rFonts w:ascii="Arial" w:hAnsi="Arial" w:cs="Arial"/>
        </w:rPr>
        <w:t>.</w:t>
      </w:r>
    </w:p>
    <w:p w:rsidR="00C70317" w:rsidRDefault="00C70317" w:rsidP="00C70317">
      <w:pPr>
        <w:spacing w:after="0"/>
        <w:jc w:val="both"/>
        <w:rPr>
          <w:rFonts w:ascii="Arial" w:hAnsi="Arial" w:cs="Arial"/>
        </w:rPr>
      </w:pPr>
    </w:p>
    <w:p w:rsidR="004C48D4" w:rsidRDefault="004C48D4" w:rsidP="00C70317">
      <w:pPr>
        <w:spacing w:after="0" w:line="276" w:lineRule="auto"/>
        <w:jc w:val="both"/>
        <w:rPr>
          <w:rFonts w:ascii="Arial" w:hAnsi="Arial" w:cs="Arial"/>
        </w:rPr>
      </w:pPr>
      <w:r w:rsidRPr="004C48D4">
        <w:rPr>
          <w:rFonts w:ascii="Arial" w:hAnsi="Arial" w:cs="Arial"/>
        </w:rPr>
        <w:t xml:space="preserve">L’arrêté du 25 janvier 2010 modifié (relatif aux méthodes et critères d’évaluation de l’état écologique, de l’état chimique et du potentiel écologique des eaux de surface pris en application des articles R. 212-10, R. 212-11 et R. 212-18 du code de l’environnement modifié par l’arrêté du 28 juillet 2011) définit les méthodes et critères servant à caractériser les différentes classes d’état écologique, d’état chimique et de potentiel écologique des eaux de surface, il permet ainsi d’évaluer l’état des masses d’eau. </w:t>
      </w:r>
    </w:p>
    <w:p w:rsidR="00C70317" w:rsidRPr="004C48D4" w:rsidRDefault="00C70317" w:rsidP="00C70317">
      <w:pPr>
        <w:spacing w:after="0" w:line="276" w:lineRule="auto"/>
        <w:jc w:val="both"/>
        <w:rPr>
          <w:rFonts w:ascii="Arial" w:hAnsi="Arial" w:cs="Arial"/>
        </w:rPr>
      </w:pPr>
    </w:p>
    <w:p w:rsidR="004C48D4" w:rsidRDefault="004C48D4" w:rsidP="00C70317">
      <w:pPr>
        <w:spacing w:after="0" w:line="276" w:lineRule="auto"/>
        <w:jc w:val="both"/>
        <w:rPr>
          <w:rFonts w:ascii="Arial" w:hAnsi="Arial" w:cs="Arial"/>
        </w:rPr>
      </w:pPr>
      <w:r w:rsidRPr="004C48D4">
        <w:rPr>
          <w:rFonts w:ascii="Arial" w:hAnsi="Arial" w:cs="Arial"/>
        </w:rPr>
        <w:t xml:space="preserve">Cette méthode évalue l'état en fonction de paramètres physico chimiques, biologiques et </w:t>
      </w:r>
      <w:proofErr w:type="spellStart"/>
      <w:r w:rsidRPr="004C48D4">
        <w:rPr>
          <w:rFonts w:ascii="Arial" w:hAnsi="Arial" w:cs="Arial"/>
        </w:rPr>
        <w:t>hydromorphologiques</w:t>
      </w:r>
      <w:proofErr w:type="spellEnd"/>
      <w:r w:rsidRPr="004C48D4">
        <w:rPr>
          <w:rFonts w:ascii="Arial" w:hAnsi="Arial" w:cs="Arial"/>
        </w:rPr>
        <w:t>.</w:t>
      </w:r>
    </w:p>
    <w:p w:rsidR="00C70317" w:rsidRPr="004C48D4" w:rsidRDefault="00C70317" w:rsidP="00C70317">
      <w:pPr>
        <w:spacing w:after="0" w:line="276" w:lineRule="auto"/>
        <w:jc w:val="both"/>
        <w:rPr>
          <w:rFonts w:ascii="Arial" w:hAnsi="Arial" w:cs="Arial"/>
        </w:rPr>
      </w:pPr>
    </w:p>
    <w:p w:rsidR="004C48D4" w:rsidRDefault="004C48D4" w:rsidP="00C70317">
      <w:pPr>
        <w:spacing w:after="0" w:line="276" w:lineRule="auto"/>
        <w:jc w:val="both"/>
        <w:rPr>
          <w:rFonts w:ascii="Arial" w:hAnsi="Arial" w:cs="Arial"/>
        </w:rPr>
      </w:pPr>
      <w:r w:rsidRPr="004C48D4">
        <w:rPr>
          <w:rFonts w:ascii="Arial" w:hAnsi="Arial" w:cs="Arial"/>
        </w:rPr>
        <w:t>L’</w:t>
      </w:r>
      <w:r w:rsidRPr="004C48D4">
        <w:rPr>
          <w:rFonts w:ascii="Arial" w:hAnsi="Arial" w:cs="Arial"/>
          <w:b/>
          <w:bCs/>
        </w:rPr>
        <w:t>état écologique</w:t>
      </w:r>
      <w:r w:rsidRPr="004C48D4">
        <w:rPr>
          <w:rFonts w:ascii="Arial" w:hAnsi="Arial" w:cs="Arial"/>
        </w:rPr>
        <w:t xml:space="preserve"> est défini comme étant l’expression de la qualité de la structure et du fonctionnement des écosystèmes aquatiques associés aux eaux de surface.</w:t>
      </w:r>
    </w:p>
    <w:p w:rsidR="00C70317" w:rsidRPr="004C48D4" w:rsidRDefault="00C70317" w:rsidP="00C70317">
      <w:pPr>
        <w:spacing w:after="0" w:line="276" w:lineRule="auto"/>
        <w:jc w:val="both"/>
        <w:rPr>
          <w:rFonts w:ascii="Arial" w:hAnsi="Arial" w:cs="Arial"/>
        </w:rPr>
      </w:pPr>
    </w:p>
    <w:p w:rsidR="004C48D4" w:rsidRPr="004C48D4" w:rsidRDefault="004C48D4" w:rsidP="004C48D4">
      <w:pPr>
        <w:spacing w:line="276" w:lineRule="auto"/>
        <w:jc w:val="both"/>
        <w:rPr>
          <w:rFonts w:ascii="Arial" w:hAnsi="Arial" w:cs="Arial"/>
        </w:rPr>
      </w:pPr>
      <w:r w:rsidRPr="004C48D4">
        <w:rPr>
          <w:rFonts w:ascii="Arial" w:hAnsi="Arial" w:cs="Arial"/>
        </w:rPr>
        <w:t>L’état écologique des eaux de surface est déterminé, selon leur type (cours d’eau, plans d’eau, eaux de transition, eaux côtières) par l’état de chacun des éléments de qualité :</w:t>
      </w:r>
    </w:p>
    <w:p w:rsidR="004C48D4" w:rsidRPr="004C48D4" w:rsidRDefault="004C48D4" w:rsidP="004C48D4">
      <w:pPr>
        <w:pStyle w:val="Paragraphedeliste"/>
        <w:numPr>
          <w:ilvl w:val="0"/>
          <w:numId w:val="5"/>
        </w:numPr>
        <w:overflowPunct w:val="0"/>
        <w:autoSpaceDE w:val="0"/>
        <w:autoSpaceDN w:val="0"/>
        <w:adjustRightInd w:val="0"/>
        <w:spacing w:after="0" w:line="276" w:lineRule="auto"/>
        <w:jc w:val="both"/>
        <w:rPr>
          <w:rFonts w:ascii="Arial" w:hAnsi="Arial" w:cs="Arial"/>
          <w:szCs w:val="20"/>
        </w:rPr>
      </w:pPr>
      <w:r w:rsidRPr="004C48D4">
        <w:rPr>
          <w:rFonts w:ascii="Arial" w:hAnsi="Arial" w:cs="Arial"/>
        </w:rPr>
        <w:t>biologique : composition et abondance de la faune et de la flore aquatiques, etc. ;</w:t>
      </w:r>
    </w:p>
    <w:p w:rsidR="004C48D4" w:rsidRPr="004C48D4" w:rsidRDefault="004C48D4" w:rsidP="004C48D4">
      <w:pPr>
        <w:pStyle w:val="Paragraphedeliste"/>
        <w:numPr>
          <w:ilvl w:val="0"/>
          <w:numId w:val="5"/>
        </w:numPr>
        <w:overflowPunct w:val="0"/>
        <w:autoSpaceDE w:val="0"/>
        <w:autoSpaceDN w:val="0"/>
        <w:adjustRightInd w:val="0"/>
        <w:spacing w:after="0" w:line="276" w:lineRule="auto"/>
        <w:jc w:val="both"/>
        <w:rPr>
          <w:rFonts w:ascii="Arial" w:hAnsi="Arial" w:cs="Arial"/>
        </w:rPr>
      </w:pPr>
      <w:r w:rsidRPr="004C48D4">
        <w:rPr>
          <w:rFonts w:ascii="Arial" w:hAnsi="Arial" w:cs="Arial"/>
        </w:rPr>
        <w:t>physico-chimique : température, bilan d’oxygène, salinité, acidification, concentration en nutriments, etc. ;</w:t>
      </w:r>
    </w:p>
    <w:p w:rsidR="004C48D4" w:rsidRDefault="004C48D4" w:rsidP="00C70317">
      <w:pPr>
        <w:pStyle w:val="Paragraphedeliste"/>
        <w:numPr>
          <w:ilvl w:val="0"/>
          <w:numId w:val="5"/>
        </w:numPr>
        <w:overflowPunct w:val="0"/>
        <w:autoSpaceDE w:val="0"/>
        <w:autoSpaceDN w:val="0"/>
        <w:adjustRightInd w:val="0"/>
        <w:spacing w:after="0" w:line="276" w:lineRule="auto"/>
        <w:ind w:left="714" w:hanging="357"/>
        <w:contextualSpacing w:val="0"/>
        <w:jc w:val="both"/>
        <w:rPr>
          <w:rFonts w:ascii="Arial" w:hAnsi="Arial" w:cs="Arial"/>
        </w:rPr>
      </w:pPr>
      <w:proofErr w:type="spellStart"/>
      <w:r w:rsidRPr="004C48D4">
        <w:rPr>
          <w:rFonts w:ascii="Arial" w:hAnsi="Arial" w:cs="Arial"/>
        </w:rPr>
        <w:t>hydromorphologique</w:t>
      </w:r>
      <w:proofErr w:type="spellEnd"/>
      <w:r w:rsidRPr="004C48D4">
        <w:rPr>
          <w:rFonts w:ascii="Arial" w:hAnsi="Arial" w:cs="Arial"/>
        </w:rPr>
        <w:t xml:space="preserve"> : régime hydrologique, continuité de la rivière, profondeur et largeur de la rivière, profondeur du plan d’eau, etc.</w:t>
      </w:r>
    </w:p>
    <w:p w:rsidR="00C70317" w:rsidRPr="004C48D4" w:rsidRDefault="00C70317" w:rsidP="00C70317">
      <w:pPr>
        <w:pStyle w:val="Paragraphedeliste"/>
        <w:overflowPunct w:val="0"/>
        <w:autoSpaceDE w:val="0"/>
        <w:autoSpaceDN w:val="0"/>
        <w:adjustRightInd w:val="0"/>
        <w:spacing w:after="0" w:line="276" w:lineRule="auto"/>
        <w:ind w:left="714"/>
        <w:contextualSpacing w:val="0"/>
        <w:jc w:val="both"/>
        <w:rPr>
          <w:rFonts w:ascii="Arial" w:hAnsi="Arial" w:cs="Arial"/>
        </w:rPr>
      </w:pPr>
    </w:p>
    <w:p w:rsidR="004C48D4" w:rsidRDefault="004C48D4" w:rsidP="00C70317">
      <w:pPr>
        <w:spacing w:after="0" w:line="276" w:lineRule="auto"/>
        <w:jc w:val="both"/>
        <w:rPr>
          <w:rFonts w:ascii="Arial" w:hAnsi="Arial" w:cs="Arial"/>
        </w:rPr>
      </w:pPr>
      <w:r w:rsidRPr="004C48D4">
        <w:rPr>
          <w:rFonts w:ascii="Arial" w:hAnsi="Arial" w:cs="Arial"/>
        </w:rPr>
        <w:t>Une classe d’état écologique est attribuée aux masses d’eau de surface selon des règles d’agrégation spécifiques (cf. annexe 2 de l’arrêté du 25 janvier 2010 modifié). La classification de l’état écologique est divisée en cinq classes. Les définitions des classes d’état écologique des eaux de surface sont présentées dans le tableau suivant.</w:t>
      </w:r>
    </w:p>
    <w:p w:rsidR="00565EE4" w:rsidRDefault="00565EE4" w:rsidP="00C70317">
      <w:pPr>
        <w:spacing w:after="0" w:line="276" w:lineRule="auto"/>
        <w:jc w:val="both"/>
        <w:rPr>
          <w:rFonts w:ascii="Arial" w:hAnsi="Arial" w:cs="Arial"/>
        </w:rPr>
      </w:pPr>
    </w:p>
    <w:p w:rsidR="004C48D4" w:rsidRDefault="004C48D4" w:rsidP="004C48D4">
      <w:pPr>
        <w:pStyle w:val="Lgende"/>
        <w:keepNext/>
        <w:spacing w:after="0"/>
      </w:pPr>
      <w:r>
        <w:t xml:space="preserve">Tableau </w:t>
      </w:r>
      <w:fldSimple w:instr=" SEQ Tableau \* ARABIC ">
        <w:r w:rsidR="00B12F45">
          <w:rPr>
            <w:noProof/>
          </w:rPr>
          <w:t>2</w:t>
        </w:r>
      </w:fldSimple>
      <w:r>
        <w:rPr>
          <w:noProof/>
        </w:rPr>
        <w:t xml:space="preserve">  : Définition générale des classes d'état écologique des eaux de surface</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2"/>
        <w:gridCol w:w="8788"/>
      </w:tblGrid>
      <w:tr w:rsidR="004C48D4" w:rsidRPr="004C48D4" w:rsidTr="004C48D4">
        <w:trPr>
          <w:trHeight w:val="304"/>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Pr="004C48D4" w:rsidRDefault="004C48D4">
            <w:pPr>
              <w:autoSpaceDN w:val="0"/>
              <w:spacing w:line="276" w:lineRule="auto"/>
              <w:jc w:val="center"/>
              <w:rPr>
                <w:rFonts w:ascii="Arial" w:hAnsi="Arial" w:cs="Arial"/>
                <w:b/>
                <w:color w:val="FFFFFF" w:themeColor="background1"/>
                <w:sz w:val="18"/>
              </w:rPr>
            </w:pPr>
            <w:r w:rsidRPr="004C48D4">
              <w:rPr>
                <w:rFonts w:ascii="Arial" w:hAnsi="Arial" w:cs="Arial"/>
                <w:b/>
                <w:color w:val="FFFFFF" w:themeColor="background1"/>
                <w:sz w:val="18"/>
              </w:rPr>
              <w:t>Classes</w:t>
            </w:r>
          </w:p>
        </w:tc>
        <w:tc>
          <w:tcPr>
            <w:tcW w:w="455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Pr="004C48D4" w:rsidRDefault="004C48D4">
            <w:pPr>
              <w:autoSpaceDN w:val="0"/>
              <w:spacing w:line="276" w:lineRule="auto"/>
              <w:jc w:val="center"/>
              <w:rPr>
                <w:rFonts w:ascii="Arial" w:hAnsi="Arial" w:cs="Arial"/>
                <w:b/>
                <w:color w:val="FFFFFF" w:themeColor="background1"/>
                <w:sz w:val="18"/>
              </w:rPr>
            </w:pPr>
            <w:r w:rsidRPr="004C48D4">
              <w:rPr>
                <w:rFonts w:ascii="Arial" w:hAnsi="Arial" w:cs="Arial"/>
                <w:b/>
                <w:color w:val="FFFFFF" w:themeColor="background1"/>
                <w:sz w:val="18"/>
              </w:rPr>
              <w:t>Définitions</w:t>
            </w:r>
          </w:p>
        </w:tc>
      </w:tr>
      <w:tr w:rsidR="004C48D4" w:rsidRPr="004C48D4" w:rsidTr="004C48D4">
        <w:trPr>
          <w:trHeight w:val="1188"/>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center"/>
              <w:rPr>
                <w:rFonts w:ascii="Arial" w:hAnsi="Arial" w:cs="Arial"/>
                <w:b/>
                <w:sz w:val="16"/>
              </w:rPr>
            </w:pPr>
            <w:r w:rsidRPr="004C48D4">
              <w:rPr>
                <w:rFonts w:ascii="Arial" w:hAnsi="Arial" w:cs="Arial"/>
                <w:b/>
                <w:sz w:val="16"/>
              </w:rPr>
              <w:t>Très bon état</w:t>
            </w:r>
          </w:p>
        </w:tc>
        <w:tc>
          <w:tcPr>
            <w:tcW w:w="4558"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both"/>
              <w:rPr>
                <w:rFonts w:ascii="Arial" w:hAnsi="Arial" w:cs="Arial"/>
                <w:sz w:val="16"/>
              </w:rPr>
            </w:pPr>
            <w:r w:rsidRPr="004C48D4">
              <w:rPr>
                <w:rFonts w:ascii="Arial" w:hAnsi="Arial" w:cs="Arial"/>
                <w:sz w:val="16"/>
              </w:rPr>
              <w:t xml:space="preserve">Pas ou très peu d’altérations anthropogéniques des valeurs des éléments de qualité physico-chimiques et </w:t>
            </w:r>
            <w:proofErr w:type="spellStart"/>
            <w:r w:rsidRPr="004C48D4">
              <w:rPr>
                <w:rFonts w:ascii="Arial" w:hAnsi="Arial" w:cs="Arial"/>
                <w:sz w:val="16"/>
              </w:rPr>
              <w:t>hydromorphologiques</w:t>
            </w:r>
            <w:proofErr w:type="spellEnd"/>
            <w:r w:rsidRPr="004C48D4">
              <w:rPr>
                <w:rFonts w:ascii="Arial" w:hAnsi="Arial" w:cs="Arial"/>
                <w:sz w:val="16"/>
              </w:rPr>
              <w:t xml:space="preserve"> applicables au type de masse d’eau de surface par rapport aux valeurs normalement associées à ce type dans des conditions non perturbées. Les valeurs des éléments de qualité biologique pour la masse d’eau de surface correspondent à celles normalement associées à ce type dans des conditions non perturbées et n’indiquent pas ou  très peu de distorsions. Il s’agit des conditions et communautés caractéristiques.</w:t>
            </w:r>
          </w:p>
        </w:tc>
      </w:tr>
      <w:tr w:rsidR="004C48D4" w:rsidRPr="004C48D4" w:rsidTr="004C48D4">
        <w:trPr>
          <w:trHeight w:val="836"/>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center"/>
              <w:rPr>
                <w:rFonts w:ascii="Arial" w:hAnsi="Arial" w:cs="Arial"/>
                <w:b/>
                <w:sz w:val="16"/>
              </w:rPr>
            </w:pPr>
            <w:r w:rsidRPr="004C48D4">
              <w:rPr>
                <w:rFonts w:ascii="Arial" w:hAnsi="Arial" w:cs="Arial"/>
                <w:b/>
                <w:sz w:val="16"/>
              </w:rPr>
              <w:t>Bon état</w:t>
            </w:r>
          </w:p>
        </w:tc>
        <w:tc>
          <w:tcPr>
            <w:tcW w:w="4558"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both"/>
              <w:rPr>
                <w:rFonts w:ascii="Arial" w:hAnsi="Arial" w:cs="Arial"/>
                <w:sz w:val="16"/>
              </w:rPr>
            </w:pPr>
            <w:r w:rsidRPr="004C48D4">
              <w:rPr>
                <w:rFonts w:ascii="Arial" w:hAnsi="Arial" w:cs="Arial"/>
                <w:sz w:val="16"/>
              </w:rPr>
              <w:t>Les valeurs des éléments de qualité biologique applicables au type de masse d’eau de surface montrent de faibles niveaux de distorsions résultant de l’activité humaine, mais ne s’écartent que légèrement de celles normalement associées à ce type dans des conditions non perturbées.</w:t>
            </w:r>
          </w:p>
        </w:tc>
      </w:tr>
      <w:tr w:rsidR="004C48D4" w:rsidRPr="004C48D4" w:rsidTr="004C48D4">
        <w:trPr>
          <w:trHeight w:val="989"/>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center"/>
              <w:rPr>
                <w:rFonts w:ascii="Arial" w:hAnsi="Arial" w:cs="Arial"/>
                <w:b/>
                <w:sz w:val="16"/>
              </w:rPr>
            </w:pPr>
            <w:r w:rsidRPr="004C48D4">
              <w:rPr>
                <w:rFonts w:ascii="Arial" w:hAnsi="Arial" w:cs="Arial"/>
                <w:b/>
                <w:sz w:val="16"/>
              </w:rPr>
              <w:t>Etat moyen</w:t>
            </w:r>
          </w:p>
        </w:tc>
        <w:tc>
          <w:tcPr>
            <w:tcW w:w="4558"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both"/>
              <w:rPr>
                <w:rFonts w:ascii="Arial" w:hAnsi="Arial" w:cs="Arial"/>
                <w:sz w:val="16"/>
              </w:rPr>
            </w:pPr>
            <w:r w:rsidRPr="004C48D4">
              <w:rPr>
                <w:rFonts w:ascii="Arial" w:hAnsi="Arial" w:cs="Arial"/>
                <w:sz w:val="16"/>
              </w:rPr>
              <w:t>Les valeurs des éléments de qualité biologique applicables au type de masse d’eau de surface s’écartent modérément de celles normalement associées à ce type dans des conditions non perturbées. Les valeurs montrent des signes modérés de distorsions résultant de l’activité humaine et sont sensiblement plus perturbées que dans des conditions de bonne qualité.</w:t>
            </w:r>
          </w:p>
        </w:tc>
      </w:tr>
      <w:tr w:rsidR="004C48D4" w:rsidRPr="004C48D4" w:rsidTr="004C48D4">
        <w:trPr>
          <w:trHeight w:val="976"/>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center"/>
              <w:rPr>
                <w:rFonts w:ascii="Arial" w:hAnsi="Arial" w:cs="Arial"/>
                <w:b/>
                <w:sz w:val="16"/>
              </w:rPr>
            </w:pPr>
            <w:r w:rsidRPr="004C48D4">
              <w:rPr>
                <w:rFonts w:ascii="Arial" w:hAnsi="Arial" w:cs="Arial"/>
                <w:b/>
                <w:sz w:val="16"/>
              </w:rPr>
              <w:t>Etat médiocre</w:t>
            </w:r>
          </w:p>
        </w:tc>
        <w:tc>
          <w:tcPr>
            <w:tcW w:w="4558"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both"/>
              <w:rPr>
                <w:rFonts w:ascii="Arial" w:hAnsi="Arial" w:cs="Arial"/>
                <w:sz w:val="16"/>
              </w:rPr>
            </w:pPr>
            <w:r w:rsidRPr="004C48D4">
              <w:rPr>
                <w:rFonts w:ascii="Arial" w:hAnsi="Arial" w:cs="Arial"/>
                <w:sz w:val="16"/>
              </w:rPr>
              <w:t>Les eaux montrant des signes d’altérations importantes des valeurs des éléments de qualité biologiques applicables au type de masse d’eau de surface et dans lesquelles les communautés biologiques pertinentes s’écartent sensiblement de celles normalement associées à ce type de masse d’eau de surface dans des conditions non perturbées sont classées comme médiocres.</w:t>
            </w:r>
          </w:p>
        </w:tc>
      </w:tr>
      <w:tr w:rsidR="004C48D4" w:rsidRPr="004C48D4" w:rsidTr="004C48D4">
        <w:trPr>
          <w:trHeight w:val="99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autoSpaceDN w:val="0"/>
              <w:spacing w:line="276" w:lineRule="auto"/>
              <w:jc w:val="center"/>
              <w:rPr>
                <w:rFonts w:ascii="Arial" w:hAnsi="Arial" w:cs="Arial"/>
                <w:b/>
                <w:sz w:val="16"/>
              </w:rPr>
            </w:pPr>
            <w:r w:rsidRPr="004C48D4">
              <w:rPr>
                <w:rFonts w:ascii="Arial" w:hAnsi="Arial" w:cs="Arial"/>
                <w:b/>
                <w:sz w:val="16"/>
              </w:rPr>
              <w:t>Mauvais état</w:t>
            </w:r>
          </w:p>
        </w:tc>
        <w:tc>
          <w:tcPr>
            <w:tcW w:w="4558" w:type="pct"/>
            <w:tcBorders>
              <w:top w:val="single" w:sz="4" w:space="0" w:color="auto"/>
              <w:left w:val="single" w:sz="4" w:space="0" w:color="auto"/>
              <w:bottom w:val="single" w:sz="4" w:space="0" w:color="auto"/>
              <w:right w:val="single" w:sz="4" w:space="0" w:color="auto"/>
            </w:tcBorders>
            <w:vAlign w:val="center"/>
            <w:hideMark/>
          </w:tcPr>
          <w:p w:rsidR="004C48D4" w:rsidRPr="004C48D4" w:rsidRDefault="004C48D4">
            <w:pPr>
              <w:keepNext/>
              <w:autoSpaceDN w:val="0"/>
              <w:spacing w:line="276" w:lineRule="auto"/>
              <w:jc w:val="both"/>
              <w:rPr>
                <w:rFonts w:ascii="Arial" w:hAnsi="Arial" w:cs="Arial"/>
                <w:sz w:val="16"/>
              </w:rPr>
            </w:pPr>
            <w:r w:rsidRPr="004C48D4">
              <w:rPr>
                <w:rFonts w:ascii="Arial" w:hAnsi="Arial" w:cs="Arial"/>
                <w:sz w:val="16"/>
              </w:rPr>
              <w:t>Les eaux montrant des signes d’altérations graves des valeurs des éléments de qualité biologiques applicables au type de masse d’eau de surface et dans lesquelles font défaut des parties importantes des communautés biologiques pertinentes normalement associées à ce type de masse d’eau de surface dans des conditions non perturbées sont classées comme mauvaises.</w:t>
            </w:r>
          </w:p>
        </w:tc>
      </w:tr>
    </w:tbl>
    <w:p w:rsidR="004C48D4" w:rsidRDefault="004C48D4" w:rsidP="004C48D4">
      <w:pPr>
        <w:spacing w:after="120" w:line="276" w:lineRule="auto"/>
        <w:jc w:val="both"/>
        <w:rPr>
          <w:rFonts w:ascii="Arial" w:hAnsi="Arial" w:cs="Arial"/>
        </w:rPr>
      </w:pPr>
    </w:p>
    <w:p w:rsidR="004C48D4" w:rsidRPr="004C48D4" w:rsidRDefault="004C48D4" w:rsidP="004C48D4">
      <w:pPr>
        <w:spacing w:after="120" w:line="276" w:lineRule="auto"/>
        <w:jc w:val="both"/>
        <w:rPr>
          <w:rFonts w:ascii="Arial" w:hAnsi="Arial" w:cs="Arial"/>
        </w:rPr>
      </w:pPr>
      <w:r w:rsidRPr="004C48D4">
        <w:rPr>
          <w:rFonts w:ascii="Arial" w:hAnsi="Arial" w:cs="Arial"/>
        </w:rPr>
        <w:t>Pour caractériser l’état écologique des eaux douces de surface, plusieurs indicateurs sont utilisés</w:t>
      </w:r>
      <w:r w:rsidRPr="004C48D4">
        <w:rPr>
          <w:rStyle w:val="Appelnotedebasdep"/>
          <w:rFonts w:ascii="Arial" w:hAnsi="Arial" w:cs="Arial"/>
        </w:rPr>
        <w:footnoteReference w:id="1"/>
      </w:r>
      <w:r w:rsidRPr="004C48D4">
        <w:rPr>
          <w:rFonts w:ascii="Arial" w:hAnsi="Arial" w:cs="Arial"/>
        </w:rPr>
        <w:t> :</w:t>
      </w:r>
    </w:p>
    <w:p w:rsidR="004C48D4" w:rsidRPr="004C48D4" w:rsidRDefault="004C48D4" w:rsidP="004C48D4">
      <w:pPr>
        <w:spacing w:after="120" w:line="276" w:lineRule="auto"/>
        <w:jc w:val="both"/>
        <w:rPr>
          <w:rFonts w:ascii="Arial" w:hAnsi="Arial" w:cs="Arial"/>
        </w:rPr>
      </w:pPr>
      <w:r w:rsidRPr="004C48D4">
        <w:rPr>
          <w:rFonts w:ascii="Arial" w:hAnsi="Arial" w:cs="Arial"/>
          <w:b/>
        </w:rPr>
        <w:lastRenderedPageBreak/>
        <w:t>Concernant les éléments biologiques</w:t>
      </w:r>
      <w:r w:rsidRPr="004C48D4">
        <w:rPr>
          <w:rFonts w:ascii="Arial" w:hAnsi="Arial" w:cs="Arial"/>
        </w:rPr>
        <w:t xml:space="preserve">, l’Indice Biologique Global Normalisé (Indice Biologique Invertébrés), l’Indice Biologique Diatomées, l’Indice Biologique Poissons et l’Indice Biologique </w:t>
      </w:r>
      <w:proofErr w:type="spellStart"/>
      <w:r w:rsidRPr="004C48D4">
        <w:rPr>
          <w:rFonts w:ascii="Arial" w:hAnsi="Arial" w:cs="Arial"/>
        </w:rPr>
        <w:t>Macrophytique</w:t>
      </w:r>
      <w:proofErr w:type="spellEnd"/>
      <w:r w:rsidRPr="004C48D4">
        <w:rPr>
          <w:rFonts w:ascii="Arial" w:hAnsi="Arial" w:cs="Arial"/>
        </w:rPr>
        <w:t xml:space="preserve"> en Rivière (cet indice entre dans le calcul de l’état des masses d’eau depuis 2015) sont utilisés, les valeurs inférieures des limites de classe sont définies dans le tableau suivant.</w:t>
      </w:r>
    </w:p>
    <w:p w:rsidR="004C48D4" w:rsidRDefault="004C48D4" w:rsidP="004C48D4">
      <w:pPr>
        <w:pStyle w:val="Lgende"/>
        <w:keepNext/>
        <w:spacing w:after="0"/>
      </w:pPr>
      <w:r>
        <w:t xml:space="preserve">Tableau </w:t>
      </w:r>
      <w:fldSimple w:instr=" SEQ Tableau \* ARABIC ">
        <w:r w:rsidR="00B12F45">
          <w:rPr>
            <w:noProof/>
          </w:rPr>
          <w:t>3</w:t>
        </w:r>
      </w:fldSimple>
      <w:r>
        <w:t xml:space="preserve"> : Eléments biologiques - valeurs inférieures des limites de classe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8"/>
        <w:gridCol w:w="1541"/>
        <w:gridCol w:w="1540"/>
        <w:gridCol w:w="1540"/>
        <w:gridCol w:w="1542"/>
        <w:gridCol w:w="1538"/>
      </w:tblGrid>
      <w:tr w:rsidR="004C48D4" w:rsidTr="004C48D4">
        <w:trPr>
          <w:jc w:val="center"/>
        </w:trPr>
        <w:tc>
          <w:tcPr>
            <w:tcW w:w="1005"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Default="004C48D4">
            <w:pPr>
              <w:pStyle w:val="Lgende1"/>
              <w:pBdr>
                <w:between w:val="single" w:sz="4" w:space="1" w:color="auto"/>
              </w:pBdr>
              <w:rPr>
                <w:bCs/>
                <w:smallCaps/>
                <w:color w:val="FFFFFF" w:themeColor="background1"/>
                <w:sz w:val="18"/>
              </w:rPr>
            </w:pPr>
            <w:r>
              <w:rPr>
                <w:bCs/>
                <w:smallCaps/>
                <w:color w:val="FFFFFF" w:themeColor="background1"/>
                <w:sz w:val="18"/>
              </w:rPr>
              <w:t>Eléments biologiques</w:t>
            </w:r>
          </w:p>
        </w:tc>
        <w:tc>
          <w:tcPr>
            <w:tcW w:w="3995" w:type="pct"/>
            <w:gridSpan w:val="5"/>
            <w:tcBorders>
              <w:top w:val="single" w:sz="4" w:space="0" w:color="auto"/>
              <w:left w:val="single" w:sz="4" w:space="0" w:color="auto"/>
              <w:bottom w:val="single" w:sz="4" w:space="0" w:color="auto"/>
              <w:right w:val="single" w:sz="4" w:space="0" w:color="auto"/>
            </w:tcBorders>
            <w:shd w:val="clear" w:color="auto" w:fill="00B050"/>
            <w:hideMark/>
          </w:tcPr>
          <w:p w:rsidR="004C48D4" w:rsidRDefault="004C48D4">
            <w:pPr>
              <w:pStyle w:val="Lgende1"/>
              <w:pBdr>
                <w:between w:val="single" w:sz="4" w:space="1" w:color="auto"/>
              </w:pBdr>
              <w:rPr>
                <w:bCs/>
                <w:smallCaps/>
                <w:color w:val="FFFFFF" w:themeColor="background1"/>
                <w:sz w:val="18"/>
              </w:rPr>
            </w:pPr>
            <w:r>
              <w:rPr>
                <w:bCs/>
                <w:smallCaps/>
                <w:color w:val="FFFFFF" w:themeColor="background1"/>
                <w:sz w:val="18"/>
              </w:rPr>
              <w:t>Limites des classes d’état</w:t>
            </w:r>
          </w:p>
        </w:tc>
      </w:tr>
      <w:tr w:rsidR="004C48D4" w:rsidTr="004C48D4">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8D4" w:rsidRDefault="004C48D4">
            <w:pPr>
              <w:rPr>
                <w:rFonts w:ascii="Arial" w:hAnsi="Arial" w:cs="Arial"/>
                <w:b/>
                <w:bCs/>
                <w:i/>
                <w:smallCaps/>
                <w:color w:val="FFFFFF" w:themeColor="background1"/>
                <w:sz w:val="18"/>
              </w:rPr>
            </w:pPr>
          </w:p>
        </w:tc>
        <w:tc>
          <w:tcPr>
            <w:tcW w:w="799" w:type="pct"/>
            <w:tcBorders>
              <w:top w:val="single" w:sz="4" w:space="0" w:color="auto"/>
              <w:left w:val="single" w:sz="4" w:space="0" w:color="auto"/>
              <w:bottom w:val="single" w:sz="4" w:space="0" w:color="auto"/>
              <w:right w:val="single" w:sz="4" w:space="0" w:color="auto"/>
            </w:tcBorders>
            <w:shd w:val="clear" w:color="auto" w:fill="3366FF"/>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Pr>
                <w:rFonts w:ascii="Arial" w:hAnsi="Arial" w:cs="Arial"/>
                <w:b/>
                <w:bCs/>
                <w:smallCaps/>
                <w:sz w:val="18"/>
              </w:rPr>
              <w:t>Très bon état</w:t>
            </w:r>
          </w:p>
        </w:tc>
        <w:tc>
          <w:tcPr>
            <w:tcW w:w="799" w:type="pct"/>
            <w:tcBorders>
              <w:top w:val="single" w:sz="4" w:space="0" w:color="auto"/>
              <w:left w:val="single" w:sz="4" w:space="0" w:color="auto"/>
              <w:bottom w:val="single" w:sz="4" w:space="0" w:color="auto"/>
              <w:right w:val="single" w:sz="4" w:space="0" w:color="auto"/>
            </w:tcBorders>
            <w:shd w:val="clear" w:color="auto" w:fill="00FF00"/>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Pr>
                <w:rFonts w:ascii="Arial" w:hAnsi="Arial" w:cs="Arial"/>
                <w:b/>
                <w:bCs/>
                <w:smallCaps/>
                <w:sz w:val="18"/>
              </w:rPr>
              <w:t>Bon état</w:t>
            </w:r>
          </w:p>
        </w:tc>
        <w:tc>
          <w:tcPr>
            <w:tcW w:w="7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Pr>
                <w:rFonts w:ascii="Arial" w:hAnsi="Arial" w:cs="Arial"/>
                <w:b/>
                <w:bCs/>
                <w:smallCaps/>
                <w:sz w:val="18"/>
              </w:rPr>
              <w:t>Etat moyen</w:t>
            </w:r>
          </w:p>
        </w:tc>
        <w:tc>
          <w:tcPr>
            <w:tcW w:w="800" w:type="pct"/>
            <w:tcBorders>
              <w:top w:val="single" w:sz="4" w:space="0" w:color="auto"/>
              <w:left w:val="single" w:sz="4" w:space="0" w:color="auto"/>
              <w:bottom w:val="single" w:sz="4" w:space="0" w:color="auto"/>
              <w:right w:val="single" w:sz="4" w:space="0" w:color="auto"/>
            </w:tcBorders>
            <w:shd w:val="clear" w:color="auto" w:fill="FF9900"/>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Pr>
                <w:rFonts w:ascii="Arial" w:hAnsi="Arial" w:cs="Arial"/>
                <w:b/>
                <w:bCs/>
                <w:smallCaps/>
                <w:sz w:val="18"/>
              </w:rPr>
              <w:t>Etat médiocre</w:t>
            </w:r>
          </w:p>
        </w:tc>
        <w:tc>
          <w:tcPr>
            <w:tcW w:w="79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Pr>
                <w:rFonts w:ascii="Arial" w:hAnsi="Arial" w:cs="Arial"/>
                <w:b/>
                <w:bCs/>
                <w:smallCaps/>
                <w:sz w:val="18"/>
              </w:rPr>
              <w:t>Mauvais état</w:t>
            </w:r>
          </w:p>
        </w:tc>
      </w:tr>
      <w:tr w:rsidR="004C48D4" w:rsidTr="004C48D4">
        <w:trPr>
          <w:jc w:val="center"/>
        </w:trPr>
        <w:tc>
          <w:tcPr>
            <w:tcW w:w="1005" w:type="pct"/>
            <w:tcBorders>
              <w:top w:val="single" w:sz="4" w:space="0" w:color="auto"/>
              <w:left w:val="single" w:sz="4" w:space="0" w:color="auto"/>
              <w:bottom w:val="single" w:sz="4" w:space="0" w:color="auto"/>
              <w:right w:val="single" w:sz="4" w:space="0" w:color="auto"/>
            </w:tcBorders>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left"/>
              <w:textAlignment w:val="baseline"/>
              <w:rPr>
                <w:rFonts w:ascii="Arial" w:hAnsi="Arial" w:cs="Arial"/>
                <w:b/>
                <w:bCs/>
                <w:sz w:val="18"/>
              </w:rPr>
            </w:pPr>
            <w:r>
              <w:rPr>
                <w:rFonts w:ascii="Arial" w:hAnsi="Arial" w:cs="Arial"/>
                <w:b/>
                <w:bCs/>
                <w:sz w:val="18"/>
              </w:rPr>
              <w:t>Indice Biologique Invertébrés</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16</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14</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10</w:t>
            </w:r>
          </w:p>
        </w:tc>
        <w:tc>
          <w:tcPr>
            <w:tcW w:w="800"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6</w:t>
            </w:r>
          </w:p>
        </w:tc>
        <w:tc>
          <w:tcPr>
            <w:tcW w:w="798"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Cs/>
                <w:sz w:val="18"/>
              </w:rPr>
            </w:pPr>
            <w:r>
              <w:rPr>
                <w:rFonts w:ascii="Arial" w:hAnsi="Arial" w:cs="Arial"/>
                <w:bCs/>
                <w:sz w:val="18"/>
              </w:rPr>
              <w:t>–</w:t>
            </w:r>
          </w:p>
        </w:tc>
      </w:tr>
      <w:tr w:rsidR="004C48D4" w:rsidTr="004C48D4">
        <w:trPr>
          <w:jc w:val="center"/>
        </w:trPr>
        <w:tc>
          <w:tcPr>
            <w:tcW w:w="1005" w:type="pct"/>
            <w:tcBorders>
              <w:top w:val="single" w:sz="4" w:space="0" w:color="auto"/>
              <w:left w:val="single" w:sz="4" w:space="0" w:color="auto"/>
              <w:bottom w:val="single" w:sz="4" w:space="0" w:color="auto"/>
              <w:right w:val="single" w:sz="4" w:space="0" w:color="auto"/>
            </w:tcBorders>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left"/>
              <w:textAlignment w:val="baseline"/>
              <w:rPr>
                <w:rFonts w:ascii="Arial" w:hAnsi="Arial" w:cs="Arial"/>
                <w:b/>
                <w:bCs/>
                <w:sz w:val="18"/>
              </w:rPr>
            </w:pPr>
            <w:r>
              <w:rPr>
                <w:rFonts w:ascii="Arial" w:hAnsi="Arial" w:cs="Arial"/>
                <w:b/>
                <w:bCs/>
                <w:sz w:val="18"/>
              </w:rPr>
              <w:t>Indice Biologique Diatomées</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17</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14,5</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10,5</w:t>
            </w:r>
          </w:p>
        </w:tc>
        <w:tc>
          <w:tcPr>
            <w:tcW w:w="800"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6</w:t>
            </w:r>
          </w:p>
        </w:tc>
        <w:tc>
          <w:tcPr>
            <w:tcW w:w="798"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bCs/>
                <w:sz w:val="18"/>
              </w:rPr>
              <w:t>–</w:t>
            </w:r>
          </w:p>
        </w:tc>
      </w:tr>
      <w:tr w:rsidR="004C48D4" w:rsidTr="004C48D4">
        <w:trPr>
          <w:jc w:val="center"/>
        </w:trPr>
        <w:tc>
          <w:tcPr>
            <w:tcW w:w="1005" w:type="pct"/>
            <w:tcBorders>
              <w:top w:val="single" w:sz="4" w:space="0" w:color="auto"/>
              <w:left w:val="single" w:sz="4" w:space="0" w:color="auto"/>
              <w:bottom w:val="single" w:sz="4" w:space="0" w:color="auto"/>
              <w:right w:val="single" w:sz="4" w:space="0" w:color="auto"/>
            </w:tcBorders>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left"/>
              <w:textAlignment w:val="baseline"/>
              <w:rPr>
                <w:rFonts w:ascii="Arial" w:hAnsi="Arial" w:cs="Arial"/>
                <w:b/>
                <w:bCs/>
                <w:sz w:val="18"/>
              </w:rPr>
            </w:pPr>
            <w:r>
              <w:rPr>
                <w:rFonts w:ascii="Arial" w:hAnsi="Arial" w:cs="Arial"/>
                <w:b/>
                <w:bCs/>
                <w:sz w:val="18"/>
              </w:rPr>
              <w:t>Indice Biologique Poissons</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[0 ; 7]</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]7 ; 16]</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]16 ; 25]</w:t>
            </w:r>
          </w:p>
        </w:tc>
        <w:tc>
          <w:tcPr>
            <w:tcW w:w="800"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]25 ; 36]</w:t>
            </w:r>
          </w:p>
        </w:tc>
        <w:tc>
          <w:tcPr>
            <w:tcW w:w="798"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Next/>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&gt; 36</w:t>
            </w:r>
          </w:p>
        </w:tc>
      </w:tr>
      <w:tr w:rsidR="004C48D4" w:rsidTr="004C48D4">
        <w:trPr>
          <w:jc w:val="center"/>
        </w:trPr>
        <w:tc>
          <w:tcPr>
            <w:tcW w:w="1005" w:type="pct"/>
            <w:tcBorders>
              <w:top w:val="single" w:sz="4" w:space="0" w:color="auto"/>
              <w:left w:val="single" w:sz="4" w:space="0" w:color="auto"/>
              <w:bottom w:val="single" w:sz="4" w:space="0" w:color="auto"/>
              <w:right w:val="single" w:sz="4" w:space="0" w:color="auto"/>
            </w:tcBorders>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left"/>
              <w:textAlignment w:val="baseline"/>
              <w:rPr>
                <w:rFonts w:ascii="Arial" w:hAnsi="Arial" w:cs="Arial"/>
                <w:b/>
                <w:bCs/>
                <w:sz w:val="18"/>
              </w:rPr>
            </w:pPr>
            <w:r>
              <w:rPr>
                <w:rFonts w:ascii="Arial" w:hAnsi="Arial" w:cs="Arial"/>
                <w:b/>
                <w:bCs/>
                <w:sz w:val="18"/>
              </w:rPr>
              <w:t xml:space="preserve">Indice Biologique </w:t>
            </w:r>
            <w:proofErr w:type="spellStart"/>
            <w:r>
              <w:rPr>
                <w:rFonts w:ascii="Arial" w:hAnsi="Arial" w:cs="Arial"/>
                <w:b/>
                <w:bCs/>
                <w:sz w:val="18"/>
              </w:rPr>
              <w:t>Macrophytique</w:t>
            </w:r>
            <w:proofErr w:type="spellEnd"/>
            <w:r>
              <w:rPr>
                <w:rFonts w:ascii="Arial" w:hAnsi="Arial" w:cs="Arial"/>
                <w:b/>
                <w:bCs/>
                <w:sz w:val="18"/>
              </w:rPr>
              <w:t xml:space="preserve"> en Rivière</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14</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12</w:t>
            </w:r>
          </w:p>
        </w:tc>
        <w:tc>
          <w:tcPr>
            <w:tcW w:w="799"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9</w:t>
            </w:r>
          </w:p>
        </w:tc>
        <w:tc>
          <w:tcPr>
            <w:tcW w:w="800"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sz w:val="18"/>
              </w:rPr>
              <w:t>7</w:t>
            </w:r>
          </w:p>
        </w:tc>
        <w:tc>
          <w:tcPr>
            <w:tcW w:w="798" w:type="pct"/>
            <w:tcBorders>
              <w:top w:val="single" w:sz="4" w:space="0" w:color="auto"/>
              <w:left w:val="single" w:sz="4" w:space="0" w:color="auto"/>
              <w:bottom w:val="single" w:sz="4" w:space="0" w:color="auto"/>
              <w:right w:val="single" w:sz="4" w:space="0" w:color="auto"/>
            </w:tcBorders>
            <w:vAlign w:val="center"/>
            <w:hideMark/>
          </w:tcPr>
          <w:p w:rsidR="004C48D4" w:rsidRDefault="004C48D4">
            <w:pPr>
              <w:pStyle w:val="Commentaire"/>
              <w:keepNext/>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sz w:val="18"/>
              </w:rPr>
            </w:pPr>
            <w:r>
              <w:rPr>
                <w:rFonts w:ascii="Arial" w:hAnsi="Arial" w:cs="Arial"/>
                <w:bCs/>
                <w:sz w:val="18"/>
              </w:rPr>
              <w:t>–</w:t>
            </w:r>
          </w:p>
        </w:tc>
      </w:tr>
    </w:tbl>
    <w:p w:rsidR="004C48D4" w:rsidRDefault="004C48D4" w:rsidP="004C48D4">
      <w:pPr>
        <w:jc w:val="both"/>
        <w:rPr>
          <w:rFonts w:ascii="Arial" w:hAnsi="Arial" w:cs="Arial"/>
        </w:rPr>
      </w:pPr>
    </w:p>
    <w:p w:rsidR="004C48D4" w:rsidRDefault="004C48D4" w:rsidP="004C48D4">
      <w:pPr>
        <w:spacing w:after="120"/>
        <w:jc w:val="both"/>
        <w:rPr>
          <w:rFonts w:ascii="Arial" w:hAnsi="Arial" w:cs="Arial"/>
        </w:rPr>
      </w:pPr>
      <w:r w:rsidRPr="004C48D4">
        <w:rPr>
          <w:rFonts w:ascii="Arial" w:hAnsi="Arial" w:cs="Arial"/>
          <w:b/>
        </w:rPr>
        <w:t>Les éléments physico-chimiques généraux</w:t>
      </w:r>
      <w:r w:rsidRPr="004C48D4">
        <w:rPr>
          <w:rFonts w:ascii="Arial" w:hAnsi="Arial" w:cs="Arial"/>
        </w:rPr>
        <w:t xml:space="preserve"> interviennent essentiellement comme facteurs explicatifs des conditions biologiques. Le tableau ci-dessous indique les valeurs les limites de classe pour les paramètres des éléments physico-chimiques généraux.</w:t>
      </w:r>
    </w:p>
    <w:p w:rsidR="004C48D4" w:rsidRDefault="004C48D4" w:rsidP="004C48D4">
      <w:pPr>
        <w:pStyle w:val="Lgende"/>
        <w:keepNext/>
        <w:spacing w:after="0"/>
      </w:pPr>
      <w:r>
        <w:t xml:space="preserve">Tableau </w:t>
      </w:r>
      <w:fldSimple w:instr=" SEQ Tableau \* ARABIC ">
        <w:r w:rsidR="00B12F45">
          <w:rPr>
            <w:noProof/>
          </w:rPr>
          <w:t>4</w:t>
        </w:r>
      </w:fldSimple>
      <w:r>
        <w:t xml:space="preserve"> : Eléments physico-chimiques généraux - valeurs inférieures de limites de classe</w:t>
      </w:r>
    </w:p>
    <w:tbl>
      <w:tblPr>
        <w:tblW w:w="96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tblPr>
      <w:tblGrid>
        <w:gridCol w:w="1926"/>
        <w:gridCol w:w="179"/>
        <w:gridCol w:w="424"/>
        <w:gridCol w:w="839"/>
        <w:gridCol w:w="1253"/>
        <w:gridCol w:w="1255"/>
        <w:gridCol w:w="1253"/>
        <w:gridCol w:w="1255"/>
        <w:gridCol w:w="1255"/>
      </w:tblGrid>
      <w:tr w:rsidR="004C48D4" w:rsidRPr="004C48D4" w:rsidTr="004C48D4">
        <w:trPr>
          <w:jc w:val="center"/>
        </w:trPr>
        <w:tc>
          <w:tcPr>
            <w:tcW w:w="1747" w:type="pct"/>
            <w:gridSpan w:val="4"/>
            <w:vMerge w:val="restart"/>
            <w:tcBorders>
              <w:top w:val="single" w:sz="6" w:space="0" w:color="auto"/>
              <w:left w:val="single" w:sz="6" w:space="0" w:color="auto"/>
              <w:bottom w:val="single" w:sz="6" w:space="0" w:color="auto"/>
              <w:right w:val="single" w:sz="6" w:space="0" w:color="auto"/>
            </w:tcBorders>
            <w:shd w:val="clear" w:color="auto" w:fill="00B050"/>
            <w:vAlign w:val="center"/>
            <w:hideMark/>
          </w:tcPr>
          <w:p w:rsidR="004C48D4" w:rsidRPr="004C48D4" w:rsidRDefault="004C48D4">
            <w:pPr>
              <w:pStyle w:val="Tableautitre"/>
              <w:keepLines w:val="0"/>
              <w:tabs>
                <w:tab w:val="clear" w:pos="2268"/>
                <w:tab w:val="left" w:pos="270"/>
                <w:tab w:val="left" w:pos="851"/>
                <w:tab w:val="left" w:pos="1701"/>
                <w:tab w:val="left" w:pos="2552"/>
                <w:tab w:val="left" w:pos="3402"/>
              </w:tabs>
              <w:spacing w:before="0" w:after="0" w:line="276" w:lineRule="auto"/>
              <w:rPr>
                <w:rFonts w:cs="Arial"/>
                <w:smallCaps/>
                <w:color w:val="FFFFFF" w:themeColor="background1"/>
                <w:sz w:val="18"/>
                <w:szCs w:val="20"/>
              </w:rPr>
            </w:pPr>
            <w:r w:rsidRPr="004C48D4">
              <w:rPr>
                <w:rFonts w:cs="Arial"/>
                <w:smallCaps/>
                <w:color w:val="FFFFFF" w:themeColor="background1"/>
                <w:sz w:val="18"/>
                <w:szCs w:val="20"/>
              </w:rPr>
              <w:t>Paramètres par élément de qualité</w:t>
            </w:r>
          </w:p>
        </w:tc>
        <w:tc>
          <w:tcPr>
            <w:tcW w:w="3253" w:type="pct"/>
            <w:gridSpan w:val="5"/>
            <w:tcBorders>
              <w:top w:val="single" w:sz="6" w:space="0" w:color="auto"/>
              <w:left w:val="single" w:sz="6" w:space="0" w:color="auto"/>
              <w:bottom w:val="single" w:sz="6" w:space="0" w:color="auto"/>
              <w:right w:val="single" w:sz="6" w:space="0" w:color="auto"/>
            </w:tcBorders>
            <w:shd w:val="clear" w:color="auto" w:fill="00B050"/>
            <w:vAlign w:val="center"/>
            <w:hideMark/>
          </w:tcPr>
          <w:p w:rsidR="004C48D4" w:rsidRPr="004C48D4" w:rsidRDefault="004C48D4">
            <w:pPr>
              <w:tabs>
                <w:tab w:val="left" w:pos="270"/>
              </w:tabs>
              <w:overflowPunct w:val="0"/>
              <w:autoSpaceDE w:val="0"/>
              <w:autoSpaceDN w:val="0"/>
              <w:adjustRightInd w:val="0"/>
              <w:spacing w:line="276" w:lineRule="auto"/>
              <w:jc w:val="center"/>
              <w:rPr>
                <w:rFonts w:ascii="Arial" w:hAnsi="Arial" w:cs="Arial"/>
                <w:b/>
                <w:smallCaps/>
                <w:color w:val="FFFFFF" w:themeColor="background1"/>
                <w:sz w:val="18"/>
              </w:rPr>
            </w:pPr>
            <w:r w:rsidRPr="004C48D4">
              <w:rPr>
                <w:rFonts w:ascii="Arial" w:hAnsi="Arial" w:cs="Arial"/>
                <w:b/>
                <w:bCs/>
                <w:smallCaps/>
                <w:color w:val="FFFFFF" w:themeColor="background1"/>
                <w:sz w:val="18"/>
              </w:rPr>
              <w:t>Limites des classes d’état</w:t>
            </w:r>
          </w:p>
        </w:tc>
      </w:tr>
      <w:tr w:rsidR="004C48D4" w:rsidRPr="004C48D4" w:rsidTr="004C48D4">
        <w:trPr>
          <w:jc w:val="center"/>
        </w:trPr>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pPr>
              <w:rPr>
                <w:rFonts w:ascii="Arial" w:hAnsi="Arial" w:cs="Arial"/>
                <w:b/>
                <w:smallCaps/>
                <w:color w:val="FFFFFF" w:themeColor="background1"/>
                <w:sz w:val="18"/>
              </w:rPr>
            </w:pPr>
          </w:p>
        </w:tc>
        <w:tc>
          <w:tcPr>
            <w:tcW w:w="650" w:type="pct"/>
            <w:tcBorders>
              <w:top w:val="single" w:sz="4" w:space="0" w:color="auto"/>
              <w:left w:val="single" w:sz="6" w:space="0" w:color="auto"/>
              <w:bottom w:val="single" w:sz="6" w:space="0" w:color="auto"/>
              <w:right w:val="single" w:sz="6" w:space="0" w:color="auto"/>
            </w:tcBorders>
            <w:shd w:val="clear" w:color="auto" w:fill="3366FF"/>
            <w:vAlign w:val="center"/>
            <w:hideMark/>
          </w:tcPr>
          <w:p w:rsidR="004C48D4" w:rsidRP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sidRPr="004C48D4">
              <w:rPr>
                <w:rFonts w:ascii="Arial" w:hAnsi="Arial" w:cs="Arial"/>
                <w:b/>
                <w:bCs/>
                <w:smallCaps/>
                <w:sz w:val="18"/>
              </w:rPr>
              <w:t>Très bon état</w:t>
            </w:r>
          </w:p>
        </w:tc>
        <w:tc>
          <w:tcPr>
            <w:tcW w:w="651" w:type="pct"/>
            <w:tcBorders>
              <w:top w:val="single" w:sz="4" w:space="0" w:color="auto"/>
              <w:left w:val="single" w:sz="6" w:space="0" w:color="auto"/>
              <w:bottom w:val="single" w:sz="6" w:space="0" w:color="auto"/>
              <w:right w:val="single" w:sz="6" w:space="0" w:color="auto"/>
            </w:tcBorders>
            <w:shd w:val="clear" w:color="auto" w:fill="00FF00"/>
            <w:vAlign w:val="center"/>
            <w:hideMark/>
          </w:tcPr>
          <w:p w:rsidR="004C48D4" w:rsidRP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sidRPr="004C48D4">
              <w:rPr>
                <w:rFonts w:ascii="Arial" w:hAnsi="Arial" w:cs="Arial"/>
                <w:b/>
                <w:bCs/>
                <w:smallCaps/>
                <w:sz w:val="18"/>
              </w:rPr>
              <w:t>Bon état</w:t>
            </w:r>
          </w:p>
        </w:tc>
        <w:tc>
          <w:tcPr>
            <w:tcW w:w="650" w:type="pct"/>
            <w:tcBorders>
              <w:top w:val="single" w:sz="4" w:space="0" w:color="auto"/>
              <w:left w:val="single" w:sz="6" w:space="0" w:color="auto"/>
              <w:bottom w:val="single" w:sz="6" w:space="0" w:color="auto"/>
              <w:right w:val="single" w:sz="6" w:space="0" w:color="auto"/>
            </w:tcBorders>
            <w:shd w:val="clear" w:color="auto" w:fill="FFFF00"/>
            <w:vAlign w:val="center"/>
            <w:hideMark/>
          </w:tcPr>
          <w:p w:rsidR="004C48D4" w:rsidRP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sidRPr="004C48D4">
              <w:rPr>
                <w:rFonts w:ascii="Arial" w:hAnsi="Arial" w:cs="Arial"/>
                <w:b/>
                <w:bCs/>
                <w:smallCaps/>
                <w:sz w:val="18"/>
              </w:rPr>
              <w:t>Etat moyen</w:t>
            </w:r>
          </w:p>
        </w:tc>
        <w:tc>
          <w:tcPr>
            <w:tcW w:w="651" w:type="pct"/>
            <w:tcBorders>
              <w:top w:val="single" w:sz="4" w:space="0" w:color="auto"/>
              <w:left w:val="single" w:sz="6" w:space="0" w:color="auto"/>
              <w:bottom w:val="single" w:sz="6" w:space="0" w:color="auto"/>
              <w:right w:val="single" w:sz="6" w:space="0" w:color="auto"/>
            </w:tcBorders>
            <w:shd w:val="clear" w:color="auto" w:fill="FF9900"/>
            <w:vAlign w:val="center"/>
            <w:hideMark/>
          </w:tcPr>
          <w:p w:rsidR="004C48D4" w:rsidRP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sidRPr="004C48D4">
              <w:rPr>
                <w:rFonts w:ascii="Arial" w:hAnsi="Arial" w:cs="Arial"/>
                <w:b/>
                <w:bCs/>
                <w:smallCaps/>
                <w:sz w:val="18"/>
              </w:rPr>
              <w:t>Etat médiocre</w:t>
            </w:r>
          </w:p>
        </w:tc>
        <w:tc>
          <w:tcPr>
            <w:tcW w:w="651" w:type="pct"/>
            <w:tcBorders>
              <w:top w:val="single" w:sz="4" w:space="0" w:color="auto"/>
              <w:left w:val="single" w:sz="6" w:space="0" w:color="auto"/>
              <w:bottom w:val="single" w:sz="6" w:space="0" w:color="auto"/>
              <w:right w:val="single" w:sz="6" w:space="0" w:color="auto"/>
            </w:tcBorders>
            <w:shd w:val="clear" w:color="auto" w:fill="FF0000"/>
            <w:vAlign w:val="center"/>
            <w:hideMark/>
          </w:tcPr>
          <w:p w:rsidR="004C48D4" w:rsidRPr="004C48D4" w:rsidRDefault="004C48D4">
            <w:pPr>
              <w:pStyle w:val="Commentaire"/>
              <w:keepLines w:val="0"/>
              <w:widowControl/>
              <w:tabs>
                <w:tab w:val="clear" w:pos="2268"/>
                <w:tab w:val="left" w:pos="851"/>
                <w:tab w:val="left" w:pos="1701"/>
                <w:tab w:val="left" w:pos="2552"/>
                <w:tab w:val="left" w:pos="3402"/>
              </w:tabs>
              <w:overflowPunct w:val="0"/>
              <w:autoSpaceDE w:val="0"/>
              <w:autoSpaceDN w:val="0"/>
              <w:adjustRightInd w:val="0"/>
              <w:spacing w:line="276" w:lineRule="auto"/>
              <w:jc w:val="center"/>
              <w:textAlignment w:val="baseline"/>
              <w:rPr>
                <w:rFonts w:ascii="Arial" w:hAnsi="Arial" w:cs="Arial"/>
                <w:b/>
                <w:bCs/>
                <w:smallCaps/>
                <w:sz w:val="18"/>
              </w:rPr>
            </w:pPr>
            <w:r w:rsidRPr="004C48D4">
              <w:rPr>
                <w:rFonts w:ascii="Arial" w:hAnsi="Arial" w:cs="Arial"/>
                <w:b/>
                <w:bCs/>
                <w:smallCaps/>
                <w:sz w:val="18"/>
              </w:rPr>
              <w:t>Mauvais état</w:t>
            </w:r>
          </w:p>
        </w:tc>
      </w:tr>
      <w:tr w:rsidR="004C48D4" w:rsidRPr="004C48D4" w:rsidTr="004C48D4">
        <w:trPr>
          <w:jc w:val="center"/>
        </w:trPr>
        <w:tc>
          <w:tcPr>
            <w:tcW w:w="5000" w:type="pct"/>
            <w:gridSpan w:val="9"/>
            <w:tcBorders>
              <w:top w:val="single" w:sz="6" w:space="0" w:color="auto"/>
              <w:left w:val="single" w:sz="4" w:space="0" w:color="auto"/>
              <w:bottom w:val="single" w:sz="6" w:space="0" w:color="auto"/>
              <w:right w:val="single" w:sz="4" w:space="0" w:color="auto"/>
            </w:tcBorders>
            <w:shd w:val="clear" w:color="auto" w:fill="92D050"/>
            <w:vAlign w:val="center"/>
            <w:hideMark/>
          </w:tcPr>
          <w:p w:rsidR="004C48D4" w:rsidRPr="004C48D4" w:rsidRDefault="004C48D4">
            <w:pPr>
              <w:pStyle w:val="Tableautitre"/>
              <w:keepLines w:val="0"/>
              <w:tabs>
                <w:tab w:val="clear" w:pos="2268"/>
                <w:tab w:val="left" w:pos="270"/>
                <w:tab w:val="left" w:pos="851"/>
                <w:tab w:val="left" w:pos="1701"/>
                <w:tab w:val="left" w:pos="2552"/>
                <w:tab w:val="left" w:pos="3402"/>
              </w:tabs>
              <w:spacing w:before="0" w:after="0" w:line="276" w:lineRule="auto"/>
              <w:rPr>
                <w:rFonts w:cs="Arial"/>
                <w:iCs/>
                <w:smallCaps/>
                <w:sz w:val="18"/>
                <w:szCs w:val="20"/>
              </w:rPr>
            </w:pPr>
            <w:r w:rsidRPr="004C48D4">
              <w:rPr>
                <w:rFonts w:cs="Arial"/>
                <w:iCs/>
                <w:smallCaps/>
                <w:sz w:val="18"/>
                <w:szCs w:val="20"/>
              </w:rPr>
              <w:t>Bilan de l’oxygène</w:t>
            </w:r>
          </w:p>
        </w:tc>
      </w:tr>
      <w:tr w:rsidR="004C48D4" w:rsidRPr="004C48D4" w:rsidTr="004C48D4">
        <w:trPr>
          <w:jc w:val="center"/>
        </w:trPr>
        <w:tc>
          <w:tcPr>
            <w:tcW w:w="1092" w:type="pct"/>
            <w:gridSpan w:val="2"/>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b/>
                <w:iCs/>
                <w:sz w:val="18"/>
              </w:rPr>
            </w:pPr>
            <w:r w:rsidRPr="004C48D4">
              <w:rPr>
                <w:rFonts w:ascii="Arial" w:hAnsi="Arial" w:cs="Arial"/>
                <w:b/>
                <w:iCs/>
                <w:sz w:val="18"/>
              </w:rPr>
              <w:t>Oxygène</w:t>
            </w:r>
            <w:r w:rsidRPr="004C48D4">
              <w:rPr>
                <w:rFonts w:ascii="Arial" w:hAnsi="Arial" w:cs="Arial"/>
                <w:b/>
                <w:iCs/>
                <w:sz w:val="18"/>
                <w:vertAlign w:val="subscript"/>
              </w:rPr>
              <w:t xml:space="preserve"> </w:t>
            </w:r>
            <w:r w:rsidRPr="004C48D4">
              <w:rPr>
                <w:rFonts w:ascii="Arial" w:hAnsi="Arial" w:cs="Arial"/>
                <w:b/>
                <w:iCs/>
                <w:sz w:val="18"/>
              </w:rPr>
              <w:t>dissous</w:t>
            </w:r>
          </w:p>
        </w:tc>
        <w:tc>
          <w:tcPr>
            <w:tcW w:w="655" w:type="pct"/>
            <w:gridSpan w:val="2"/>
            <w:tcBorders>
              <w:top w:val="single" w:sz="6" w:space="0" w:color="auto"/>
              <w:left w:val="nil"/>
              <w:bottom w:val="single" w:sz="6" w:space="0" w:color="auto"/>
              <w:right w:val="single" w:sz="6" w:space="0" w:color="auto"/>
            </w:tcBorders>
            <w:vAlign w:val="center"/>
            <w:hideMark/>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r w:rsidRPr="004C48D4">
              <w:rPr>
                <w:rFonts w:ascii="Arial" w:hAnsi="Arial" w:cs="Arial"/>
                <w:sz w:val="18"/>
              </w:rPr>
              <w:t>(mg O</w:t>
            </w:r>
            <w:r w:rsidRPr="004C48D4">
              <w:rPr>
                <w:rFonts w:ascii="Arial" w:hAnsi="Arial" w:cs="Arial"/>
                <w:sz w:val="18"/>
                <w:vertAlign w:val="subscript"/>
              </w:rPr>
              <w:t>2</w:t>
            </w:r>
            <w:r w:rsidRPr="004C48D4">
              <w:rPr>
                <w:rFonts w:ascii="Arial" w:hAnsi="Arial" w:cs="Arial"/>
                <w:sz w:val="18"/>
              </w:rPr>
              <w:t>/L)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8</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6</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4</w:t>
            </w:r>
          </w:p>
        </w:tc>
        <w:tc>
          <w:tcPr>
            <w:tcW w:w="651"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3</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1092" w:type="pct"/>
            <w:gridSpan w:val="2"/>
            <w:tcBorders>
              <w:top w:val="single" w:sz="6" w:space="0" w:color="auto"/>
              <w:left w:val="single" w:sz="4" w:space="0" w:color="auto"/>
              <w:bottom w:val="single" w:sz="4"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rPr>
                <w:rFonts w:ascii="Arial" w:hAnsi="Arial" w:cs="Arial"/>
                <w:b/>
                <w:iCs/>
                <w:sz w:val="18"/>
              </w:rPr>
            </w:pPr>
            <w:r w:rsidRPr="004C48D4">
              <w:rPr>
                <w:rFonts w:ascii="Arial" w:hAnsi="Arial" w:cs="Arial"/>
                <w:b/>
                <w:iCs/>
                <w:sz w:val="18"/>
              </w:rPr>
              <w:t>Taux saturation en O</w:t>
            </w:r>
            <w:r w:rsidRPr="004C48D4">
              <w:rPr>
                <w:rFonts w:ascii="Arial" w:hAnsi="Arial" w:cs="Arial"/>
                <w:b/>
                <w:iCs/>
                <w:sz w:val="18"/>
                <w:vertAlign w:val="subscript"/>
              </w:rPr>
              <w:t>2</w:t>
            </w:r>
            <w:r w:rsidRPr="004C48D4">
              <w:rPr>
                <w:rFonts w:ascii="Arial" w:hAnsi="Arial" w:cs="Arial"/>
                <w:b/>
                <w:iCs/>
                <w:sz w:val="18"/>
              </w:rPr>
              <w:t xml:space="preserve"> dissous</w:t>
            </w:r>
          </w:p>
        </w:tc>
        <w:tc>
          <w:tcPr>
            <w:tcW w:w="655" w:type="pct"/>
            <w:gridSpan w:val="2"/>
            <w:tcBorders>
              <w:top w:val="single" w:sz="6" w:space="0" w:color="auto"/>
              <w:left w:val="nil"/>
              <w:bottom w:val="single" w:sz="4" w:space="0" w:color="auto"/>
              <w:right w:val="single" w:sz="6" w:space="0" w:color="auto"/>
            </w:tcBorders>
            <w:vAlign w:val="center"/>
            <w:hideMark/>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r w:rsidRPr="004C48D4">
              <w:rPr>
                <w:rFonts w:ascii="Arial" w:hAnsi="Arial" w:cs="Arial"/>
                <w:sz w:val="18"/>
              </w:rPr>
              <w:t>(%)</w:t>
            </w:r>
          </w:p>
        </w:tc>
        <w:tc>
          <w:tcPr>
            <w:tcW w:w="650" w:type="pct"/>
            <w:tcBorders>
              <w:top w:val="single" w:sz="6" w:space="0" w:color="auto"/>
              <w:left w:val="single" w:sz="6" w:space="0" w:color="auto"/>
              <w:bottom w:val="single" w:sz="4" w:space="0" w:color="auto"/>
              <w:right w:val="single" w:sz="6" w:space="0" w:color="auto"/>
            </w:tcBorders>
            <w:vAlign w:val="center"/>
            <w:hideMark/>
          </w:tcPr>
          <w:p w:rsidR="004C48D4" w:rsidRPr="004C48D4" w:rsidRDefault="004C48D4" w:rsidP="004C48D4">
            <w:pPr>
              <w:pStyle w:val="Tableau"/>
              <w:keepLines w:val="0"/>
              <w:tabs>
                <w:tab w:val="clear" w:pos="2268"/>
                <w:tab w:val="left" w:pos="270"/>
                <w:tab w:val="left" w:pos="851"/>
                <w:tab w:val="left" w:pos="1701"/>
                <w:tab w:val="left" w:pos="2552"/>
                <w:tab w:val="left" w:pos="3402"/>
              </w:tabs>
              <w:spacing w:before="0" w:after="0" w:line="276" w:lineRule="auto"/>
              <w:rPr>
                <w:rFonts w:ascii="Arial" w:hAnsi="Arial" w:cs="Arial"/>
                <w:sz w:val="18"/>
                <w:szCs w:val="20"/>
              </w:rPr>
            </w:pPr>
            <w:r w:rsidRPr="004C48D4">
              <w:rPr>
                <w:rFonts w:ascii="Arial" w:hAnsi="Arial" w:cs="Arial"/>
                <w:sz w:val="18"/>
                <w:szCs w:val="20"/>
              </w:rPr>
              <w:t>90</w:t>
            </w:r>
          </w:p>
        </w:tc>
        <w:tc>
          <w:tcPr>
            <w:tcW w:w="651" w:type="pct"/>
            <w:tcBorders>
              <w:top w:val="single" w:sz="6" w:space="0" w:color="auto"/>
              <w:left w:val="single" w:sz="6" w:space="0" w:color="auto"/>
              <w:bottom w:val="single" w:sz="4"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70</w:t>
            </w:r>
          </w:p>
        </w:tc>
        <w:tc>
          <w:tcPr>
            <w:tcW w:w="650" w:type="pct"/>
            <w:tcBorders>
              <w:top w:val="single" w:sz="6" w:space="0" w:color="auto"/>
              <w:left w:val="single" w:sz="6" w:space="0" w:color="auto"/>
              <w:bottom w:val="single" w:sz="4"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50</w:t>
            </w:r>
          </w:p>
        </w:tc>
        <w:tc>
          <w:tcPr>
            <w:tcW w:w="651" w:type="pct"/>
            <w:tcBorders>
              <w:top w:val="single" w:sz="6" w:space="0" w:color="auto"/>
              <w:left w:val="single" w:sz="6" w:space="0" w:color="auto"/>
              <w:bottom w:val="single" w:sz="4"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30</w:t>
            </w:r>
          </w:p>
        </w:tc>
        <w:tc>
          <w:tcPr>
            <w:tcW w:w="651" w:type="pct"/>
            <w:tcBorders>
              <w:top w:val="single" w:sz="6" w:space="0" w:color="auto"/>
              <w:left w:val="single" w:sz="6" w:space="0" w:color="auto"/>
              <w:bottom w:val="single" w:sz="4"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1092" w:type="pct"/>
            <w:gridSpan w:val="2"/>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b/>
                <w:iCs/>
                <w:sz w:val="18"/>
              </w:rPr>
            </w:pPr>
            <w:r w:rsidRPr="004C48D4">
              <w:rPr>
                <w:rFonts w:ascii="Arial" w:hAnsi="Arial" w:cs="Arial"/>
                <w:b/>
                <w:iCs/>
                <w:sz w:val="18"/>
              </w:rPr>
              <w:t>DBO</w:t>
            </w:r>
            <w:r w:rsidRPr="004C48D4">
              <w:rPr>
                <w:rFonts w:ascii="Arial" w:hAnsi="Arial" w:cs="Arial"/>
                <w:b/>
                <w:iCs/>
                <w:sz w:val="18"/>
                <w:vertAlign w:val="subscript"/>
              </w:rPr>
              <w:t>5</w:t>
            </w:r>
          </w:p>
        </w:tc>
        <w:tc>
          <w:tcPr>
            <w:tcW w:w="655" w:type="pct"/>
            <w:gridSpan w:val="2"/>
            <w:tcBorders>
              <w:top w:val="single" w:sz="6" w:space="0" w:color="auto"/>
              <w:left w:val="nil"/>
              <w:bottom w:val="single" w:sz="6" w:space="0" w:color="auto"/>
              <w:right w:val="single" w:sz="6" w:space="0" w:color="auto"/>
            </w:tcBorders>
            <w:vAlign w:val="center"/>
            <w:hideMark/>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r w:rsidRPr="004C48D4">
              <w:rPr>
                <w:rFonts w:ascii="Arial" w:hAnsi="Arial" w:cs="Arial"/>
                <w:sz w:val="18"/>
              </w:rPr>
              <w:t>(mg O</w:t>
            </w:r>
            <w:r w:rsidRPr="004C48D4">
              <w:rPr>
                <w:rFonts w:ascii="Arial" w:hAnsi="Arial" w:cs="Arial"/>
                <w:sz w:val="18"/>
                <w:vertAlign w:val="subscript"/>
              </w:rPr>
              <w:t>2</w:t>
            </w:r>
            <w:r w:rsidRPr="004C48D4">
              <w:rPr>
                <w:rFonts w:ascii="Arial" w:hAnsi="Arial" w:cs="Arial"/>
                <w:sz w:val="18"/>
              </w:rPr>
              <w:t>/L)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3</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6</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pStyle w:val="Tableau"/>
              <w:keepLines w:val="0"/>
              <w:tabs>
                <w:tab w:val="clear" w:pos="2268"/>
                <w:tab w:val="left" w:pos="270"/>
                <w:tab w:val="left" w:pos="851"/>
                <w:tab w:val="left" w:pos="1701"/>
                <w:tab w:val="left" w:pos="2552"/>
                <w:tab w:val="left" w:pos="3402"/>
              </w:tabs>
              <w:spacing w:before="0" w:after="0" w:line="276" w:lineRule="auto"/>
              <w:rPr>
                <w:rFonts w:ascii="Arial" w:hAnsi="Arial" w:cs="Arial"/>
                <w:sz w:val="18"/>
                <w:szCs w:val="20"/>
              </w:rPr>
            </w:pPr>
            <w:r w:rsidRPr="004C48D4">
              <w:rPr>
                <w:rFonts w:ascii="Arial" w:hAnsi="Arial" w:cs="Arial"/>
                <w:sz w:val="18"/>
                <w:szCs w:val="20"/>
              </w:rPr>
              <w:t>10</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25</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1092" w:type="pct"/>
            <w:gridSpan w:val="2"/>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b/>
                <w:iCs/>
                <w:sz w:val="18"/>
              </w:rPr>
            </w:pPr>
            <w:r w:rsidRPr="004C48D4">
              <w:rPr>
                <w:rFonts w:ascii="Arial" w:hAnsi="Arial" w:cs="Arial"/>
                <w:b/>
                <w:iCs/>
                <w:sz w:val="18"/>
              </w:rPr>
              <w:t>Carbone organique dissous</w:t>
            </w:r>
          </w:p>
        </w:tc>
        <w:tc>
          <w:tcPr>
            <w:tcW w:w="655" w:type="pct"/>
            <w:gridSpan w:val="2"/>
            <w:tcBorders>
              <w:top w:val="single" w:sz="6" w:space="0" w:color="auto"/>
              <w:left w:val="nil"/>
              <w:bottom w:val="single" w:sz="6" w:space="0" w:color="auto"/>
              <w:right w:val="single" w:sz="6" w:space="0" w:color="auto"/>
            </w:tcBorders>
            <w:vAlign w:val="center"/>
            <w:hideMark/>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r w:rsidRPr="004C48D4">
              <w:rPr>
                <w:rFonts w:ascii="Arial" w:hAnsi="Arial" w:cs="Arial"/>
                <w:sz w:val="18"/>
              </w:rPr>
              <w:t>(mg C/L)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5</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7</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10</w:t>
            </w:r>
          </w:p>
        </w:tc>
        <w:tc>
          <w:tcPr>
            <w:tcW w:w="651"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15</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5000" w:type="pct"/>
            <w:gridSpan w:val="9"/>
            <w:tcBorders>
              <w:top w:val="single" w:sz="6" w:space="0" w:color="auto"/>
              <w:left w:val="single" w:sz="4" w:space="0" w:color="auto"/>
              <w:bottom w:val="single" w:sz="6" w:space="0" w:color="auto"/>
              <w:right w:val="single" w:sz="4" w:space="0" w:color="auto"/>
            </w:tcBorders>
            <w:shd w:val="clear" w:color="auto" w:fill="92D050"/>
            <w:vAlign w:val="center"/>
            <w:hideMark/>
          </w:tcPr>
          <w:p w:rsidR="004C48D4" w:rsidRPr="004C48D4" w:rsidRDefault="004C48D4" w:rsidP="004C48D4">
            <w:pPr>
              <w:pStyle w:val="Tableautitre"/>
              <w:keepLines w:val="0"/>
              <w:tabs>
                <w:tab w:val="clear" w:pos="2268"/>
                <w:tab w:val="left" w:pos="270"/>
                <w:tab w:val="left" w:pos="851"/>
                <w:tab w:val="left" w:pos="1701"/>
                <w:tab w:val="left" w:pos="2552"/>
                <w:tab w:val="left" w:pos="3402"/>
              </w:tabs>
              <w:spacing w:before="0" w:after="0" w:line="276" w:lineRule="auto"/>
              <w:rPr>
                <w:rFonts w:cs="Arial"/>
                <w:iCs/>
                <w:smallCaps/>
                <w:sz w:val="18"/>
                <w:szCs w:val="20"/>
              </w:rPr>
            </w:pPr>
            <w:r w:rsidRPr="004C48D4">
              <w:rPr>
                <w:rFonts w:cs="Arial"/>
                <w:iCs/>
                <w:smallCaps/>
                <w:sz w:val="18"/>
                <w:szCs w:val="20"/>
              </w:rPr>
              <w:t>Température</w:t>
            </w:r>
          </w:p>
        </w:tc>
      </w:tr>
      <w:tr w:rsidR="004C48D4" w:rsidRPr="004C48D4" w:rsidTr="004C48D4">
        <w:trPr>
          <w:jc w:val="center"/>
        </w:trPr>
        <w:tc>
          <w:tcPr>
            <w:tcW w:w="1092" w:type="pct"/>
            <w:gridSpan w:val="2"/>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rPr>
                <w:rFonts w:ascii="Arial" w:hAnsi="Arial" w:cs="Arial"/>
                <w:b/>
                <w:iCs/>
                <w:sz w:val="18"/>
              </w:rPr>
            </w:pPr>
            <w:r w:rsidRPr="004C48D4">
              <w:rPr>
                <w:rFonts w:ascii="Arial" w:hAnsi="Arial" w:cs="Arial"/>
                <w:b/>
                <w:iCs/>
                <w:sz w:val="18"/>
              </w:rPr>
              <w:t>Eaux salmonicoles*</w:t>
            </w:r>
          </w:p>
        </w:tc>
        <w:tc>
          <w:tcPr>
            <w:tcW w:w="655" w:type="pct"/>
            <w:gridSpan w:val="2"/>
            <w:tcBorders>
              <w:top w:val="single" w:sz="6" w:space="0" w:color="auto"/>
              <w:left w:val="nil"/>
              <w:bottom w:val="single" w:sz="6" w:space="0" w:color="auto"/>
              <w:right w:val="single" w:sz="6" w:space="0" w:color="auto"/>
            </w:tcBorders>
            <w:vAlign w:val="center"/>
            <w:hideMark/>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r w:rsidRPr="004C48D4">
              <w:rPr>
                <w:rFonts w:ascii="Arial" w:hAnsi="Arial" w:cs="Arial"/>
                <w:sz w:val="18"/>
              </w:rPr>
              <w:t>(°C)</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20</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21,5</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25</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28</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1092" w:type="pct"/>
            <w:gridSpan w:val="2"/>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rPr>
                <w:rFonts w:ascii="Arial" w:hAnsi="Arial" w:cs="Arial"/>
                <w:b/>
                <w:iCs/>
                <w:sz w:val="18"/>
              </w:rPr>
            </w:pPr>
            <w:r w:rsidRPr="004C48D4">
              <w:rPr>
                <w:rFonts w:ascii="Arial" w:hAnsi="Arial" w:cs="Arial"/>
                <w:b/>
                <w:iCs/>
                <w:sz w:val="18"/>
              </w:rPr>
              <w:t>Eaux cyprinicoles*</w:t>
            </w:r>
          </w:p>
        </w:tc>
        <w:tc>
          <w:tcPr>
            <w:tcW w:w="655" w:type="pct"/>
            <w:gridSpan w:val="2"/>
            <w:tcBorders>
              <w:top w:val="single" w:sz="6" w:space="0" w:color="auto"/>
              <w:left w:val="nil"/>
              <w:bottom w:val="single" w:sz="6" w:space="0" w:color="auto"/>
              <w:right w:val="single" w:sz="6" w:space="0" w:color="auto"/>
            </w:tcBorders>
            <w:vAlign w:val="center"/>
            <w:hideMark/>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r w:rsidRPr="004C48D4">
              <w:rPr>
                <w:rFonts w:ascii="Arial" w:hAnsi="Arial" w:cs="Arial"/>
                <w:sz w:val="18"/>
              </w:rPr>
              <w:t>(°C)</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24</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25,5</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27</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28</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5000" w:type="pct"/>
            <w:gridSpan w:val="9"/>
            <w:tcBorders>
              <w:top w:val="single" w:sz="6" w:space="0" w:color="auto"/>
              <w:left w:val="single" w:sz="4" w:space="0" w:color="auto"/>
              <w:bottom w:val="single" w:sz="6" w:space="0" w:color="auto"/>
              <w:right w:val="single" w:sz="4" w:space="0" w:color="auto"/>
            </w:tcBorders>
            <w:shd w:val="clear" w:color="auto" w:fill="92D050"/>
            <w:vAlign w:val="center"/>
            <w:hideMark/>
          </w:tcPr>
          <w:p w:rsidR="004C48D4" w:rsidRPr="004C48D4" w:rsidRDefault="004C48D4" w:rsidP="004C48D4">
            <w:pPr>
              <w:pStyle w:val="Tableautitre"/>
              <w:keepLines w:val="0"/>
              <w:tabs>
                <w:tab w:val="clear" w:pos="2268"/>
                <w:tab w:val="left" w:pos="270"/>
                <w:tab w:val="left" w:pos="851"/>
                <w:tab w:val="left" w:pos="1701"/>
                <w:tab w:val="left" w:pos="2552"/>
                <w:tab w:val="left" w:pos="3402"/>
              </w:tabs>
              <w:spacing w:before="0" w:after="0" w:line="276" w:lineRule="auto"/>
              <w:rPr>
                <w:rFonts w:cs="Arial"/>
                <w:iCs/>
                <w:smallCaps/>
                <w:sz w:val="18"/>
                <w:szCs w:val="20"/>
              </w:rPr>
            </w:pPr>
            <w:r w:rsidRPr="004C48D4">
              <w:rPr>
                <w:rFonts w:cs="Arial"/>
                <w:iCs/>
                <w:smallCaps/>
                <w:sz w:val="18"/>
                <w:szCs w:val="20"/>
              </w:rPr>
              <w:t>Nutriments</w:t>
            </w:r>
          </w:p>
        </w:tc>
      </w:tr>
      <w:tr w:rsidR="004C48D4" w:rsidRPr="004C48D4" w:rsidTr="004C48D4">
        <w:trPr>
          <w:jc w:val="center"/>
        </w:trPr>
        <w:tc>
          <w:tcPr>
            <w:tcW w:w="999" w:type="pct"/>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b/>
                <w:iCs/>
                <w:sz w:val="18"/>
              </w:rPr>
            </w:pPr>
            <w:r w:rsidRPr="004C48D4">
              <w:rPr>
                <w:rFonts w:ascii="Arial" w:hAnsi="Arial" w:cs="Arial"/>
                <w:b/>
                <w:iCs/>
                <w:sz w:val="18"/>
              </w:rPr>
              <w:t>PO</w:t>
            </w:r>
            <w:r w:rsidRPr="004C48D4">
              <w:rPr>
                <w:rFonts w:ascii="Arial" w:hAnsi="Arial" w:cs="Arial"/>
                <w:b/>
                <w:iCs/>
                <w:sz w:val="18"/>
                <w:vertAlign w:val="subscript"/>
              </w:rPr>
              <w:t>4</w:t>
            </w:r>
            <w:r w:rsidRPr="004C48D4">
              <w:rPr>
                <w:rFonts w:ascii="Arial" w:hAnsi="Arial" w:cs="Arial"/>
                <w:b/>
                <w:iCs/>
                <w:sz w:val="18"/>
                <w:vertAlign w:val="superscript"/>
              </w:rPr>
              <w:t>3-</w:t>
            </w:r>
          </w:p>
        </w:tc>
        <w:tc>
          <w:tcPr>
            <w:tcW w:w="748" w:type="pct"/>
            <w:gridSpan w:val="3"/>
            <w:tcBorders>
              <w:top w:val="single" w:sz="6" w:space="0" w:color="auto"/>
              <w:left w:val="nil"/>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both"/>
              <w:rPr>
                <w:rFonts w:ascii="Arial" w:hAnsi="Arial" w:cs="Arial"/>
                <w:sz w:val="18"/>
              </w:rPr>
            </w:pPr>
            <w:r w:rsidRPr="004C48D4">
              <w:rPr>
                <w:rFonts w:ascii="Arial" w:hAnsi="Arial" w:cs="Arial"/>
                <w:sz w:val="18"/>
              </w:rPr>
              <w:t xml:space="preserve">(mg </w:t>
            </w:r>
            <w:r w:rsidRPr="004C48D4">
              <w:rPr>
                <w:rFonts w:ascii="Arial" w:hAnsi="Arial" w:cs="Arial"/>
                <w:bCs/>
                <w:iCs/>
                <w:sz w:val="18"/>
              </w:rPr>
              <w:t>PO</w:t>
            </w:r>
            <w:r w:rsidRPr="004C48D4">
              <w:rPr>
                <w:rFonts w:ascii="Arial" w:hAnsi="Arial" w:cs="Arial"/>
                <w:bCs/>
                <w:iCs/>
                <w:sz w:val="18"/>
                <w:vertAlign w:val="subscript"/>
              </w:rPr>
              <w:t>4</w:t>
            </w:r>
            <w:r w:rsidRPr="004C48D4">
              <w:rPr>
                <w:rFonts w:ascii="Arial" w:hAnsi="Arial" w:cs="Arial"/>
                <w:bCs/>
                <w:iCs/>
                <w:sz w:val="18"/>
                <w:vertAlign w:val="superscript"/>
              </w:rPr>
              <w:t>3-</w:t>
            </w:r>
            <w:r w:rsidRPr="004C48D4">
              <w:rPr>
                <w:rFonts w:ascii="Arial" w:hAnsi="Arial" w:cs="Arial"/>
                <w:bCs/>
                <w:sz w:val="18"/>
              </w:rPr>
              <w:t>/L)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0,1</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0,5</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w:t>
            </w:r>
          </w:p>
        </w:tc>
        <w:tc>
          <w:tcPr>
            <w:tcW w:w="651"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999" w:type="pct"/>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b/>
                <w:iCs/>
                <w:sz w:val="18"/>
              </w:rPr>
            </w:pPr>
            <w:r w:rsidRPr="004C48D4">
              <w:rPr>
                <w:rFonts w:ascii="Arial" w:hAnsi="Arial" w:cs="Arial"/>
                <w:b/>
                <w:iCs/>
                <w:sz w:val="18"/>
              </w:rPr>
              <w:t>Phosphore total</w:t>
            </w:r>
          </w:p>
        </w:tc>
        <w:tc>
          <w:tcPr>
            <w:tcW w:w="748" w:type="pct"/>
            <w:gridSpan w:val="3"/>
            <w:tcBorders>
              <w:top w:val="single" w:sz="6" w:space="0" w:color="auto"/>
              <w:left w:val="nil"/>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both"/>
              <w:rPr>
                <w:rFonts w:ascii="Arial" w:hAnsi="Arial" w:cs="Arial"/>
                <w:sz w:val="18"/>
              </w:rPr>
            </w:pPr>
            <w:r w:rsidRPr="004C48D4">
              <w:rPr>
                <w:rFonts w:ascii="Arial" w:hAnsi="Arial" w:cs="Arial"/>
                <w:sz w:val="18"/>
              </w:rPr>
              <w:t>(mg P/L)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0,05</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0,2</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0,5</w:t>
            </w:r>
          </w:p>
        </w:tc>
        <w:tc>
          <w:tcPr>
            <w:tcW w:w="651"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999" w:type="pct"/>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iCs/>
                <w:sz w:val="18"/>
              </w:rPr>
            </w:pPr>
            <w:r w:rsidRPr="004C48D4">
              <w:rPr>
                <w:rFonts w:ascii="Arial" w:hAnsi="Arial" w:cs="Arial"/>
                <w:b/>
                <w:iCs/>
                <w:sz w:val="18"/>
              </w:rPr>
              <w:t>NH</w:t>
            </w:r>
            <w:r w:rsidRPr="004C48D4">
              <w:rPr>
                <w:rFonts w:ascii="Arial" w:hAnsi="Arial" w:cs="Arial"/>
                <w:b/>
                <w:iCs/>
                <w:sz w:val="18"/>
                <w:vertAlign w:val="subscript"/>
              </w:rPr>
              <w:t>4</w:t>
            </w:r>
            <w:r w:rsidRPr="004C48D4">
              <w:rPr>
                <w:rFonts w:ascii="Arial" w:hAnsi="Arial" w:cs="Arial"/>
                <w:b/>
                <w:iCs/>
                <w:sz w:val="18"/>
                <w:vertAlign w:val="superscript"/>
              </w:rPr>
              <w:t>+</w:t>
            </w:r>
          </w:p>
        </w:tc>
        <w:tc>
          <w:tcPr>
            <w:tcW w:w="748" w:type="pct"/>
            <w:gridSpan w:val="3"/>
            <w:tcBorders>
              <w:top w:val="single" w:sz="6" w:space="0" w:color="auto"/>
              <w:left w:val="nil"/>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both"/>
              <w:rPr>
                <w:rFonts w:ascii="Arial" w:hAnsi="Arial" w:cs="Arial"/>
                <w:sz w:val="18"/>
              </w:rPr>
            </w:pPr>
            <w:r w:rsidRPr="004C48D4">
              <w:rPr>
                <w:rFonts w:ascii="Arial" w:hAnsi="Arial" w:cs="Arial"/>
                <w:sz w:val="18"/>
              </w:rPr>
              <w:t>(mg</w:t>
            </w:r>
            <w:r w:rsidRPr="004C48D4">
              <w:rPr>
                <w:rFonts w:ascii="Arial" w:hAnsi="Arial" w:cs="Arial"/>
                <w:bCs/>
                <w:iCs/>
                <w:sz w:val="18"/>
              </w:rPr>
              <w:t xml:space="preserve"> NH</w:t>
            </w:r>
            <w:r w:rsidRPr="004C48D4">
              <w:rPr>
                <w:rFonts w:ascii="Arial" w:hAnsi="Arial" w:cs="Arial"/>
                <w:bCs/>
                <w:iCs/>
                <w:sz w:val="18"/>
                <w:vertAlign w:val="subscript"/>
              </w:rPr>
              <w:t>4</w:t>
            </w:r>
            <w:r w:rsidRPr="004C48D4">
              <w:rPr>
                <w:rFonts w:ascii="Arial" w:hAnsi="Arial" w:cs="Arial"/>
                <w:bCs/>
                <w:iCs/>
                <w:sz w:val="18"/>
                <w:vertAlign w:val="superscript"/>
              </w:rPr>
              <w:t>+</w:t>
            </w:r>
            <w:r w:rsidRPr="004C48D4">
              <w:rPr>
                <w:rFonts w:ascii="Arial" w:hAnsi="Arial" w:cs="Arial"/>
                <w:sz w:val="18"/>
              </w:rPr>
              <w:t>/L)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pStyle w:val="Tableau"/>
              <w:keepLines w:val="0"/>
              <w:tabs>
                <w:tab w:val="clear" w:pos="2268"/>
                <w:tab w:val="left" w:pos="270"/>
                <w:tab w:val="left" w:pos="851"/>
                <w:tab w:val="left" w:pos="1701"/>
                <w:tab w:val="left" w:pos="2552"/>
                <w:tab w:val="left" w:pos="3402"/>
              </w:tabs>
              <w:spacing w:before="0" w:after="0" w:line="276" w:lineRule="auto"/>
              <w:rPr>
                <w:rFonts w:ascii="Arial" w:hAnsi="Arial" w:cs="Arial"/>
                <w:sz w:val="18"/>
                <w:szCs w:val="20"/>
              </w:rPr>
            </w:pPr>
            <w:r w:rsidRPr="004C48D4">
              <w:rPr>
                <w:rFonts w:ascii="Arial" w:hAnsi="Arial" w:cs="Arial"/>
                <w:sz w:val="18"/>
                <w:szCs w:val="20"/>
              </w:rPr>
              <w:t>0,1</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0,5</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2</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5</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999" w:type="pct"/>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iCs/>
                <w:sz w:val="18"/>
              </w:rPr>
            </w:pPr>
            <w:r w:rsidRPr="004C48D4">
              <w:rPr>
                <w:rFonts w:ascii="Arial" w:hAnsi="Arial" w:cs="Arial"/>
                <w:b/>
                <w:iCs/>
                <w:sz w:val="18"/>
              </w:rPr>
              <w:t>NO</w:t>
            </w:r>
            <w:r w:rsidRPr="004C48D4">
              <w:rPr>
                <w:rFonts w:ascii="Arial" w:hAnsi="Arial" w:cs="Arial"/>
                <w:b/>
                <w:iCs/>
                <w:sz w:val="18"/>
                <w:vertAlign w:val="subscript"/>
              </w:rPr>
              <w:t>2</w:t>
            </w:r>
            <w:r w:rsidRPr="004C48D4">
              <w:rPr>
                <w:rFonts w:ascii="Arial" w:hAnsi="Arial" w:cs="Arial"/>
                <w:b/>
                <w:iCs/>
                <w:sz w:val="18"/>
                <w:vertAlign w:val="superscript"/>
              </w:rPr>
              <w:t>-</w:t>
            </w:r>
          </w:p>
        </w:tc>
        <w:tc>
          <w:tcPr>
            <w:tcW w:w="748" w:type="pct"/>
            <w:gridSpan w:val="3"/>
            <w:tcBorders>
              <w:top w:val="single" w:sz="6" w:space="0" w:color="auto"/>
              <w:left w:val="nil"/>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both"/>
              <w:rPr>
                <w:rFonts w:ascii="Arial" w:hAnsi="Arial" w:cs="Arial"/>
                <w:sz w:val="18"/>
              </w:rPr>
            </w:pPr>
            <w:r w:rsidRPr="004C48D4">
              <w:rPr>
                <w:rFonts w:ascii="Arial" w:hAnsi="Arial" w:cs="Arial"/>
                <w:sz w:val="18"/>
              </w:rPr>
              <w:t xml:space="preserve">(mg </w:t>
            </w:r>
            <w:r w:rsidRPr="004C48D4">
              <w:rPr>
                <w:rFonts w:ascii="Arial" w:hAnsi="Arial" w:cs="Arial"/>
                <w:bCs/>
                <w:iCs/>
                <w:sz w:val="18"/>
              </w:rPr>
              <w:t>NO</w:t>
            </w:r>
            <w:r w:rsidRPr="004C48D4">
              <w:rPr>
                <w:rFonts w:ascii="Arial" w:hAnsi="Arial" w:cs="Arial"/>
                <w:bCs/>
                <w:iCs/>
                <w:sz w:val="18"/>
                <w:vertAlign w:val="subscript"/>
              </w:rPr>
              <w:t>2</w:t>
            </w:r>
            <w:r w:rsidRPr="004C48D4">
              <w:rPr>
                <w:rFonts w:ascii="Arial" w:hAnsi="Arial" w:cs="Arial"/>
                <w:bCs/>
                <w:iCs/>
                <w:sz w:val="18"/>
                <w:vertAlign w:val="superscript"/>
              </w:rPr>
              <w:t>-</w:t>
            </w:r>
            <w:r w:rsidRPr="004C48D4">
              <w:rPr>
                <w:rFonts w:ascii="Arial" w:hAnsi="Arial" w:cs="Arial"/>
                <w:sz w:val="18"/>
              </w:rPr>
              <w:t>/L)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0,1</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0,3</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0,5</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999" w:type="pct"/>
            <w:tcBorders>
              <w:top w:val="single" w:sz="6" w:space="0" w:color="auto"/>
              <w:left w:val="single" w:sz="4" w:space="0" w:color="auto"/>
              <w:bottom w:val="single" w:sz="6"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iCs/>
                <w:sz w:val="18"/>
              </w:rPr>
            </w:pPr>
            <w:r w:rsidRPr="004C48D4">
              <w:rPr>
                <w:rFonts w:ascii="Arial" w:hAnsi="Arial" w:cs="Arial"/>
                <w:b/>
                <w:iCs/>
                <w:sz w:val="18"/>
              </w:rPr>
              <w:t>NO</w:t>
            </w:r>
            <w:r w:rsidRPr="004C48D4">
              <w:rPr>
                <w:rFonts w:ascii="Arial" w:hAnsi="Arial" w:cs="Arial"/>
                <w:b/>
                <w:iCs/>
                <w:sz w:val="18"/>
                <w:vertAlign w:val="subscript"/>
              </w:rPr>
              <w:t>3</w:t>
            </w:r>
            <w:r w:rsidRPr="004C48D4">
              <w:rPr>
                <w:rFonts w:ascii="Arial" w:hAnsi="Arial" w:cs="Arial"/>
                <w:b/>
                <w:iCs/>
                <w:sz w:val="18"/>
                <w:vertAlign w:val="superscript"/>
              </w:rPr>
              <w:t>-</w:t>
            </w:r>
          </w:p>
        </w:tc>
        <w:tc>
          <w:tcPr>
            <w:tcW w:w="748" w:type="pct"/>
            <w:gridSpan w:val="3"/>
            <w:tcBorders>
              <w:top w:val="single" w:sz="6" w:space="0" w:color="auto"/>
              <w:left w:val="nil"/>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both"/>
              <w:rPr>
                <w:rFonts w:ascii="Arial" w:hAnsi="Arial" w:cs="Arial"/>
                <w:sz w:val="18"/>
              </w:rPr>
            </w:pPr>
            <w:r w:rsidRPr="004C48D4">
              <w:rPr>
                <w:rFonts w:ascii="Arial" w:hAnsi="Arial" w:cs="Arial"/>
                <w:sz w:val="18"/>
              </w:rPr>
              <w:t xml:space="preserve">(mg </w:t>
            </w:r>
            <w:r w:rsidRPr="004C48D4">
              <w:rPr>
                <w:rFonts w:ascii="Arial" w:hAnsi="Arial" w:cs="Arial"/>
                <w:bCs/>
                <w:iCs/>
                <w:sz w:val="18"/>
              </w:rPr>
              <w:t>NO</w:t>
            </w:r>
            <w:r w:rsidRPr="004C48D4">
              <w:rPr>
                <w:rFonts w:ascii="Arial" w:hAnsi="Arial" w:cs="Arial"/>
                <w:bCs/>
                <w:iCs/>
                <w:sz w:val="18"/>
                <w:vertAlign w:val="subscript"/>
              </w:rPr>
              <w:t>3</w:t>
            </w:r>
            <w:r w:rsidRPr="004C48D4">
              <w:rPr>
                <w:rFonts w:ascii="Arial" w:hAnsi="Arial" w:cs="Arial"/>
                <w:bCs/>
                <w:iCs/>
                <w:sz w:val="18"/>
                <w:vertAlign w:val="superscript"/>
              </w:rPr>
              <w:t>-</w:t>
            </w:r>
            <w:r w:rsidRPr="004C48D4">
              <w:rPr>
                <w:rFonts w:ascii="Arial" w:hAnsi="Arial" w:cs="Arial"/>
                <w:sz w:val="18"/>
              </w:rPr>
              <w:t>/L)</w:t>
            </w: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10</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50</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4C48D4">
        <w:trPr>
          <w:jc w:val="center"/>
        </w:trPr>
        <w:tc>
          <w:tcPr>
            <w:tcW w:w="5000" w:type="pct"/>
            <w:gridSpan w:val="9"/>
            <w:tcBorders>
              <w:top w:val="single" w:sz="6" w:space="0" w:color="auto"/>
              <w:left w:val="single" w:sz="4" w:space="0" w:color="auto"/>
              <w:bottom w:val="single" w:sz="6" w:space="0" w:color="auto"/>
              <w:right w:val="single" w:sz="4" w:space="0" w:color="auto"/>
            </w:tcBorders>
            <w:shd w:val="clear" w:color="auto" w:fill="92D050"/>
            <w:vAlign w:val="center"/>
            <w:hideMark/>
          </w:tcPr>
          <w:p w:rsidR="004C48D4" w:rsidRPr="004C48D4" w:rsidRDefault="004C48D4" w:rsidP="004C48D4">
            <w:pPr>
              <w:pStyle w:val="Tableautitre"/>
              <w:keepLines w:val="0"/>
              <w:tabs>
                <w:tab w:val="clear" w:pos="2268"/>
                <w:tab w:val="left" w:pos="270"/>
                <w:tab w:val="left" w:pos="851"/>
                <w:tab w:val="left" w:pos="1701"/>
                <w:tab w:val="left" w:pos="2552"/>
                <w:tab w:val="left" w:pos="3402"/>
              </w:tabs>
              <w:spacing w:before="0" w:after="0" w:line="276" w:lineRule="auto"/>
              <w:rPr>
                <w:rFonts w:cs="Arial"/>
                <w:iCs/>
                <w:smallCaps/>
                <w:sz w:val="18"/>
                <w:szCs w:val="20"/>
              </w:rPr>
            </w:pPr>
            <w:r w:rsidRPr="004C48D4">
              <w:rPr>
                <w:rFonts w:cs="Arial"/>
                <w:iCs/>
                <w:smallCaps/>
                <w:sz w:val="18"/>
                <w:szCs w:val="20"/>
              </w:rPr>
              <w:t>Acidification</w:t>
            </w:r>
          </w:p>
        </w:tc>
      </w:tr>
      <w:tr w:rsidR="004C48D4" w:rsidRPr="004C48D4" w:rsidTr="00565EE4">
        <w:trPr>
          <w:trHeight w:val="357"/>
          <w:jc w:val="center"/>
        </w:trPr>
        <w:tc>
          <w:tcPr>
            <w:tcW w:w="1312" w:type="pct"/>
            <w:gridSpan w:val="3"/>
            <w:tcBorders>
              <w:top w:val="single" w:sz="6" w:space="0" w:color="auto"/>
              <w:left w:val="single" w:sz="4" w:space="0" w:color="auto"/>
              <w:bottom w:val="single" w:sz="6" w:space="0" w:color="auto"/>
              <w:right w:val="nil"/>
            </w:tcBorders>
            <w:vAlign w:val="center"/>
            <w:hideMark/>
          </w:tcPr>
          <w:p w:rsidR="004C48D4" w:rsidRPr="004C48D4" w:rsidRDefault="004C48D4" w:rsidP="00565EE4">
            <w:pPr>
              <w:overflowPunct w:val="0"/>
              <w:autoSpaceDE w:val="0"/>
              <w:autoSpaceDN w:val="0"/>
              <w:adjustRightInd w:val="0"/>
              <w:spacing w:after="0" w:line="240" w:lineRule="auto"/>
              <w:jc w:val="both"/>
              <w:rPr>
                <w:rFonts w:ascii="Arial" w:hAnsi="Arial" w:cs="Arial"/>
                <w:b/>
                <w:iCs/>
                <w:sz w:val="18"/>
              </w:rPr>
            </w:pPr>
            <w:r w:rsidRPr="004C48D4">
              <w:rPr>
                <w:rFonts w:ascii="Arial" w:hAnsi="Arial" w:cs="Arial"/>
                <w:b/>
                <w:iCs/>
                <w:sz w:val="18"/>
              </w:rPr>
              <w:t>pH minimum</w:t>
            </w:r>
          </w:p>
        </w:tc>
        <w:tc>
          <w:tcPr>
            <w:tcW w:w="435" w:type="pct"/>
            <w:tcBorders>
              <w:top w:val="single" w:sz="6" w:space="0" w:color="auto"/>
              <w:left w:val="nil"/>
              <w:bottom w:val="single" w:sz="6" w:space="0" w:color="auto"/>
              <w:right w:val="single" w:sz="6" w:space="0" w:color="auto"/>
            </w:tcBorders>
            <w:vAlign w:val="center"/>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6,5</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6</w:t>
            </w:r>
          </w:p>
        </w:tc>
        <w:tc>
          <w:tcPr>
            <w:tcW w:w="650"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5,5</w:t>
            </w:r>
          </w:p>
        </w:tc>
        <w:tc>
          <w:tcPr>
            <w:tcW w:w="651" w:type="pct"/>
            <w:tcBorders>
              <w:top w:val="single" w:sz="6" w:space="0" w:color="auto"/>
              <w:left w:val="single" w:sz="6" w:space="0" w:color="auto"/>
              <w:bottom w:val="single" w:sz="6"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4,5</w:t>
            </w:r>
          </w:p>
        </w:tc>
        <w:tc>
          <w:tcPr>
            <w:tcW w:w="651" w:type="pct"/>
            <w:tcBorders>
              <w:top w:val="single" w:sz="6" w:space="0" w:color="auto"/>
              <w:left w:val="single" w:sz="6" w:space="0" w:color="auto"/>
              <w:bottom w:val="single" w:sz="6" w:space="0" w:color="auto"/>
              <w:right w:val="single" w:sz="4"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r w:rsidR="004C48D4" w:rsidRPr="004C48D4" w:rsidTr="00565EE4">
        <w:trPr>
          <w:trHeight w:val="278"/>
          <w:jc w:val="center"/>
        </w:trPr>
        <w:tc>
          <w:tcPr>
            <w:tcW w:w="1312" w:type="pct"/>
            <w:gridSpan w:val="3"/>
            <w:tcBorders>
              <w:top w:val="single" w:sz="6" w:space="0" w:color="auto"/>
              <w:left w:val="single" w:sz="4" w:space="0" w:color="auto"/>
              <w:bottom w:val="single" w:sz="4" w:space="0" w:color="auto"/>
              <w:right w:val="nil"/>
            </w:tcBorders>
            <w:vAlign w:val="center"/>
            <w:hideMark/>
          </w:tcPr>
          <w:p w:rsidR="004C48D4" w:rsidRPr="004C48D4" w:rsidRDefault="004C48D4" w:rsidP="004C48D4">
            <w:pPr>
              <w:overflowPunct w:val="0"/>
              <w:autoSpaceDE w:val="0"/>
              <w:autoSpaceDN w:val="0"/>
              <w:adjustRightInd w:val="0"/>
              <w:spacing w:after="0" w:line="276" w:lineRule="auto"/>
              <w:jc w:val="both"/>
              <w:rPr>
                <w:rFonts w:ascii="Arial" w:hAnsi="Arial" w:cs="Arial"/>
                <w:b/>
                <w:iCs/>
                <w:sz w:val="18"/>
              </w:rPr>
            </w:pPr>
            <w:r w:rsidRPr="004C48D4">
              <w:rPr>
                <w:rFonts w:ascii="Arial" w:hAnsi="Arial" w:cs="Arial"/>
                <w:b/>
                <w:iCs/>
                <w:sz w:val="18"/>
              </w:rPr>
              <w:t>pH maximum</w:t>
            </w:r>
          </w:p>
        </w:tc>
        <w:tc>
          <w:tcPr>
            <w:tcW w:w="435" w:type="pct"/>
            <w:tcBorders>
              <w:top w:val="single" w:sz="6" w:space="0" w:color="auto"/>
              <w:left w:val="nil"/>
              <w:bottom w:val="single" w:sz="4" w:space="0" w:color="auto"/>
              <w:right w:val="single" w:sz="6" w:space="0" w:color="auto"/>
            </w:tcBorders>
            <w:vAlign w:val="center"/>
          </w:tcPr>
          <w:p w:rsidR="004C48D4" w:rsidRPr="004C48D4" w:rsidRDefault="004C48D4">
            <w:pPr>
              <w:tabs>
                <w:tab w:val="left" w:pos="270"/>
              </w:tabs>
              <w:overflowPunct w:val="0"/>
              <w:autoSpaceDE w:val="0"/>
              <w:autoSpaceDN w:val="0"/>
              <w:adjustRightInd w:val="0"/>
              <w:spacing w:line="276" w:lineRule="auto"/>
              <w:jc w:val="both"/>
              <w:rPr>
                <w:rFonts w:ascii="Arial" w:hAnsi="Arial" w:cs="Arial"/>
                <w:sz w:val="18"/>
              </w:rPr>
            </w:pPr>
          </w:p>
        </w:tc>
        <w:tc>
          <w:tcPr>
            <w:tcW w:w="650" w:type="pct"/>
            <w:tcBorders>
              <w:top w:val="single" w:sz="6" w:space="0" w:color="auto"/>
              <w:left w:val="single" w:sz="6" w:space="0" w:color="auto"/>
              <w:bottom w:val="single" w:sz="4" w:space="0" w:color="auto"/>
              <w:right w:val="single" w:sz="6" w:space="0" w:color="auto"/>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8,2</w:t>
            </w:r>
          </w:p>
        </w:tc>
        <w:tc>
          <w:tcPr>
            <w:tcW w:w="651" w:type="pct"/>
            <w:tcBorders>
              <w:top w:val="single" w:sz="6" w:space="0" w:color="auto"/>
              <w:left w:val="single" w:sz="6" w:space="0" w:color="auto"/>
              <w:bottom w:val="single" w:sz="4"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9</w:t>
            </w:r>
          </w:p>
        </w:tc>
        <w:tc>
          <w:tcPr>
            <w:tcW w:w="650" w:type="pct"/>
            <w:tcBorders>
              <w:top w:val="single" w:sz="6" w:space="0" w:color="auto"/>
              <w:left w:val="single" w:sz="6" w:space="0" w:color="auto"/>
              <w:bottom w:val="single" w:sz="4"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9,5</w:t>
            </w:r>
          </w:p>
        </w:tc>
        <w:tc>
          <w:tcPr>
            <w:tcW w:w="651" w:type="pct"/>
            <w:tcBorders>
              <w:top w:val="single" w:sz="6" w:space="0" w:color="auto"/>
              <w:left w:val="single" w:sz="6" w:space="0" w:color="auto"/>
              <w:bottom w:val="single" w:sz="4" w:space="0" w:color="auto"/>
              <w:right w:val="nil"/>
            </w:tcBorders>
            <w:vAlign w:val="center"/>
            <w:hideMark/>
          </w:tcPr>
          <w:p w:rsidR="004C48D4" w:rsidRPr="004C48D4" w:rsidRDefault="004C48D4" w:rsidP="004C48D4">
            <w:pPr>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10</w:t>
            </w:r>
          </w:p>
        </w:tc>
        <w:tc>
          <w:tcPr>
            <w:tcW w:w="651" w:type="pct"/>
            <w:tcBorders>
              <w:top w:val="single" w:sz="6" w:space="0" w:color="auto"/>
              <w:left w:val="single" w:sz="6" w:space="0" w:color="auto"/>
              <w:bottom w:val="single" w:sz="4" w:space="0" w:color="auto"/>
              <w:right w:val="single" w:sz="4" w:space="0" w:color="auto"/>
            </w:tcBorders>
            <w:vAlign w:val="center"/>
            <w:hideMark/>
          </w:tcPr>
          <w:p w:rsidR="004C48D4" w:rsidRPr="004C48D4" w:rsidRDefault="004C48D4" w:rsidP="004C48D4">
            <w:pPr>
              <w:keepNext/>
              <w:tabs>
                <w:tab w:val="left" w:pos="270"/>
              </w:tabs>
              <w:overflowPunct w:val="0"/>
              <w:autoSpaceDE w:val="0"/>
              <w:autoSpaceDN w:val="0"/>
              <w:adjustRightInd w:val="0"/>
              <w:spacing w:after="0" w:line="276" w:lineRule="auto"/>
              <w:jc w:val="center"/>
              <w:rPr>
                <w:rFonts w:ascii="Arial" w:hAnsi="Arial" w:cs="Arial"/>
                <w:sz w:val="18"/>
              </w:rPr>
            </w:pPr>
            <w:r w:rsidRPr="004C48D4">
              <w:rPr>
                <w:rFonts w:ascii="Arial" w:hAnsi="Arial" w:cs="Arial"/>
                <w:sz w:val="18"/>
              </w:rPr>
              <w:t>–</w:t>
            </w:r>
          </w:p>
        </w:tc>
      </w:tr>
    </w:tbl>
    <w:p w:rsidR="004C48D4" w:rsidRPr="004C48D4" w:rsidRDefault="004C48D4" w:rsidP="004C48D4">
      <w:pPr>
        <w:spacing w:after="120" w:line="276" w:lineRule="auto"/>
        <w:rPr>
          <w:rFonts w:ascii="Arial" w:hAnsi="Arial" w:cs="Arial"/>
          <w:sz w:val="16"/>
        </w:rPr>
      </w:pPr>
      <w:r w:rsidRPr="004C48D4">
        <w:rPr>
          <w:rFonts w:ascii="Arial" w:hAnsi="Arial" w:cs="Arial"/>
          <w:sz w:val="16"/>
        </w:rPr>
        <w:t>*</w:t>
      </w:r>
      <w:r w:rsidRPr="004C48D4">
        <w:rPr>
          <w:rFonts w:ascii="Arial" w:hAnsi="Arial" w:cs="Arial"/>
          <w:b/>
          <w:bCs/>
          <w:sz w:val="16"/>
        </w:rPr>
        <w:t>Eaux salmonicoles</w:t>
      </w:r>
      <w:r w:rsidRPr="004C48D4">
        <w:rPr>
          <w:rFonts w:ascii="Arial" w:hAnsi="Arial" w:cs="Arial"/>
          <w:sz w:val="16"/>
        </w:rPr>
        <w:t xml:space="preserve"> : eaux dans lesquelles vivent ou pourraient vivre les poissons appartenant à des espèces telles que les saumons, les truites, les ombres ou encore les corégones.</w:t>
      </w:r>
    </w:p>
    <w:p w:rsidR="004C48D4" w:rsidRPr="004C48D4" w:rsidRDefault="004C48D4" w:rsidP="004C48D4">
      <w:pPr>
        <w:spacing w:line="276" w:lineRule="auto"/>
        <w:rPr>
          <w:rFonts w:ascii="Arial" w:hAnsi="Arial" w:cs="Arial"/>
          <w:sz w:val="16"/>
        </w:rPr>
      </w:pPr>
      <w:r w:rsidRPr="004C48D4">
        <w:rPr>
          <w:rFonts w:ascii="Arial" w:hAnsi="Arial" w:cs="Arial"/>
          <w:sz w:val="16"/>
        </w:rPr>
        <w:t>*</w:t>
      </w:r>
      <w:r w:rsidRPr="004C48D4">
        <w:rPr>
          <w:rFonts w:ascii="Arial" w:hAnsi="Arial" w:cs="Arial"/>
          <w:b/>
          <w:bCs/>
          <w:sz w:val="16"/>
        </w:rPr>
        <w:t>Eaux cyprinicoles</w:t>
      </w:r>
      <w:r w:rsidRPr="004C48D4">
        <w:rPr>
          <w:rFonts w:ascii="Arial" w:hAnsi="Arial" w:cs="Arial"/>
          <w:sz w:val="16"/>
        </w:rPr>
        <w:t xml:space="preserve"> : eaux dans lesquelles vivent ou pourraient vivre les poissons appartenant aux cyprinidés ou d'autres espèces telles que les brochets, les perches et les anguilles.</w:t>
      </w:r>
    </w:p>
    <w:p w:rsidR="004C48D4" w:rsidRDefault="004C48D4" w:rsidP="004C48D4">
      <w:pPr>
        <w:spacing w:line="276" w:lineRule="auto"/>
        <w:jc w:val="both"/>
        <w:rPr>
          <w:rFonts w:ascii="Arial" w:hAnsi="Arial" w:cs="Arial"/>
        </w:rPr>
      </w:pPr>
      <w:r w:rsidRPr="004C48D4">
        <w:rPr>
          <w:rFonts w:ascii="Arial" w:hAnsi="Arial" w:cs="Arial"/>
        </w:rPr>
        <w:lastRenderedPageBreak/>
        <w:t xml:space="preserve">Concernant </w:t>
      </w:r>
      <w:r w:rsidRPr="004C48D4">
        <w:rPr>
          <w:rFonts w:ascii="Arial" w:hAnsi="Arial" w:cs="Arial"/>
          <w:b/>
        </w:rPr>
        <w:t>l’état chimique</w:t>
      </w:r>
      <w:r w:rsidRPr="004C48D4">
        <w:rPr>
          <w:rFonts w:ascii="Arial" w:hAnsi="Arial" w:cs="Arial"/>
        </w:rPr>
        <w:t>, il est soit "Bon" (bleu) soit "Mauvais" (rouge). Selon l’arrêté du 25 janvier 2010 modifié, l’état chimique d’une masse d’eau de surface est bon lorsque les concentrations en polluants ne dépassent pas les Normes de Qualité Environnementale (NQE) en tout point de la masse d’eau hors zone de mélange (voir l’annexe 8 de l’arrêté du 25 janvier 2010 modifié).</w:t>
      </w:r>
    </w:p>
    <w:p w:rsidR="004C48D4" w:rsidRPr="004C48D4" w:rsidRDefault="001B2635" w:rsidP="004C48D4">
      <w:pPr>
        <w:spacing w:line="276" w:lineRule="auto"/>
        <w:jc w:val="both"/>
        <w:rPr>
          <w:rFonts w:ascii="Arial" w:hAnsi="Arial" w:cs="Arial"/>
        </w:rPr>
      </w:pPr>
      <w:r>
        <w:rPr>
          <w:rFonts w:ascii="Arial" w:hAnsi="Arial" w:cs="Arial"/>
        </w:rPr>
        <w:t xml:space="preserve">La </w:t>
      </w:r>
      <w:r w:rsidR="00565EE4">
        <w:rPr>
          <w:rFonts w:ascii="Arial" w:hAnsi="Arial" w:cs="Arial"/>
        </w:rPr>
        <w:t xml:space="preserve">qualité des eaux du Canal de </w:t>
      </w:r>
      <w:proofErr w:type="spellStart"/>
      <w:r w:rsidR="00565EE4">
        <w:rPr>
          <w:rFonts w:ascii="Arial" w:hAnsi="Arial" w:cs="Arial"/>
        </w:rPr>
        <w:t>Neufossé</w:t>
      </w:r>
      <w:proofErr w:type="spellEnd"/>
      <w:r w:rsidR="004C48D4" w:rsidRPr="00C87116">
        <w:rPr>
          <w:rFonts w:ascii="Arial" w:hAnsi="Arial" w:cs="Arial"/>
        </w:rPr>
        <w:t xml:space="preserve">, dans </w:t>
      </w:r>
      <w:r w:rsidR="00C87116" w:rsidRPr="00C87116">
        <w:rPr>
          <w:rFonts w:ascii="Arial" w:hAnsi="Arial" w:cs="Arial"/>
        </w:rPr>
        <w:t xml:space="preserve">lequel les </w:t>
      </w:r>
      <w:r w:rsidR="00C87116">
        <w:rPr>
          <w:rFonts w:ascii="Arial" w:hAnsi="Arial" w:cs="Arial"/>
        </w:rPr>
        <w:t>eaux</w:t>
      </w:r>
      <w:r w:rsidR="00C87116" w:rsidRPr="00C87116">
        <w:rPr>
          <w:rFonts w:ascii="Arial" w:hAnsi="Arial" w:cs="Arial"/>
        </w:rPr>
        <w:t xml:space="preserve"> pluviales </w:t>
      </w:r>
      <w:r w:rsidR="00565EE4">
        <w:rPr>
          <w:rFonts w:ascii="Arial" w:hAnsi="Arial" w:cs="Arial"/>
        </w:rPr>
        <w:t>et industrielles d’</w:t>
      </w:r>
      <w:proofErr w:type="spellStart"/>
      <w:r w:rsidR="00565EE4">
        <w:rPr>
          <w:rFonts w:ascii="Arial" w:hAnsi="Arial" w:cs="Arial"/>
        </w:rPr>
        <w:t>Alphaglass</w:t>
      </w:r>
      <w:proofErr w:type="spellEnd"/>
      <w:r w:rsidR="00C87116" w:rsidRPr="00C87116">
        <w:rPr>
          <w:rFonts w:ascii="Arial" w:hAnsi="Arial" w:cs="Arial"/>
        </w:rPr>
        <w:t xml:space="preserve"> sont rejeté</w:t>
      </w:r>
      <w:r>
        <w:rPr>
          <w:rFonts w:ascii="Arial" w:hAnsi="Arial" w:cs="Arial"/>
        </w:rPr>
        <w:t>e</w:t>
      </w:r>
      <w:r w:rsidR="00C87116" w:rsidRPr="00C87116">
        <w:rPr>
          <w:rFonts w:ascii="Arial" w:hAnsi="Arial" w:cs="Arial"/>
        </w:rPr>
        <w:t>s</w:t>
      </w:r>
      <w:r w:rsidR="004C48D4" w:rsidRPr="00C87116">
        <w:rPr>
          <w:rFonts w:ascii="Arial" w:hAnsi="Arial" w:cs="Arial"/>
        </w:rPr>
        <w:t>, est présentée dans le tableau ci-après (Etat écologiq</w:t>
      </w:r>
      <w:r w:rsidR="00C87116" w:rsidRPr="00C87116">
        <w:rPr>
          <w:rFonts w:ascii="Arial" w:hAnsi="Arial" w:cs="Arial"/>
        </w:rPr>
        <w:t>ue 2014-2016, Etat chimique 201</w:t>
      </w:r>
      <w:r>
        <w:rPr>
          <w:rFonts w:ascii="Arial" w:hAnsi="Arial" w:cs="Arial"/>
        </w:rPr>
        <w:t>4</w:t>
      </w:r>
      <w:r w:rsidR="004C48D4" w:rsidRPr="00C87116">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2238"/>
        <w:gridCol w:w="2060"/>
        <w:gridCol w:w="1930"/>
        <w:gridCol w:w="1770"/>
      </w:tblGrid>
      <w:tr w:rsidR="004C48D4" w:rsidRPr="004C48D4" w:rsidTr="004C48D4">
        <w:trPr>
          <w:trHeight w:val="484"/>
          <w:jc w:val="center"/>
        </w:trPr>
        <w:tc>
          <w:tcPr>
            <w:tcW w:w="694"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Pr="004C48D4" w:rsidRDefault="004C48D4" w:rsidP="004C48D4">
            <w:pPr>
              <w:autoSpaceDN w:val="0"/>
              <w:spacing w:after="0" w:line="276" w:lineRule="auto"/>
              <w:jc w:val="center"/>
              <w:rPr>
                <w:rFonts w:ascii="Arial" w:hAnsi="Arial" w:cs="Arial"/>
                <w:b/>
                <w:color w:val="FFFFFF" w:themeColor="background1"/>
                <w:sz w:val="18"/>
                <w:szCs w:val="16"/>
              </w:rPr>
            </w:pPr>
            <w:r w:rsidRPr="004C48D4">
              <w:rPr>
                <w:rFonts w:ascii="Arial" w:hAnsi="Arial" w:cs="Arial"/>
                <w:b/>
                <w:color w:val="FFFFFF" w:themeColor="background1"/>
                <w:sz w:val="18"/>
                <w:szCs w:val="16"/>
              </w:rPr>
              <w:t>Code Masse d’eau</w:t>
            </w:r>
          </w:p>
        </w:tc>
        <w:tc>
          <w:tcPr>
            <w:tcW w:w="1205"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Pr="004C48D4" w:rsidRDefault="004C48D4" w:rsidP="006A11D6">
            <w:pPr>
              <w:autoSpaceDN w:val="0"/>
              <w:spacing w:after="0" w:line="276" w:lineRule="auto"/>
              <w:jc w:val="center"/>
              <w:rPr>
                <w:rFonts w:ascii="Arial" w:hAnsi="Arial" w:cs="Arial"/>
                <w:b/>
                <w:color w:val="FFFFFF" w:themeColor="background1"/>
                <w:sz w:val="18"/>
                <w:szCs w:val="16"/>
              </w:rPr>
            </w:pPr>
            <w:r w:rsidRPr="004C48D4">
              <w:rPr>
                <w:rFonts w:ascii="Arial" w:hAnsi="Arial" w:cs="Arial"/>
                <w:b/>
                <w:color w:val="FFFFFF" w:themeColor="background1"/>
                <w:sz w:val="18"/>
                <w:szCs w:val="16"/>
              </w:rPr>
              <w:t xml:space="preserve">Nom </w:t>
            </w:r>
            <w:r w:rsidR="006A11D6">
              <w:rPr>
                <w:rFonts w:ascii="Arial" w:hAnsi="Arial" w:cs="Arial"/>
                <w:b/>
                <w:color w:val="FFFFFF" w:themeColor="background1"/>
                <w:sz w:val="18"/>
                <w:szCs w:val="16"/>
              </w:rPr>
              <w:t>de la masse d’eau</w:t>
            </w:r>
          </w:p>
        </w:tc>
        <w:tc>
          <w:tcPr>
            <w:tcW w:w="1109"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Pr="004C48D4" w:rsidRDefault="004C48D4" w:rsidP="004C48D4">
            <w:pPr>
              <w:autoSpaceDN w:val="0"/>
              <w:spacing w:after="0" w:line="276" w:lineRule="auto"/>
              <w:jc w:val="center"/>
              <w:rPr>
                <w:rFonts w:ascii="Arial" w:hAnsi="Arial" w:cs="Arial"/>
                <w:b/>
                <w:color w:val="FFFFFF" w:themeColor="background1"/>
                <w:sz w:val="18"/>
                <w:szCs w:val="16"/>
              </w:rPr>
            </w:pPr>
            <w:r w:rsidRPr="004C48D4">
              <w:rPr>
                <w:rFonts w:ascii="Arial" w:hAnsi="Arial" w:cs="Arial"/>
                <w:b/>
                <w:color w:val="FFFFFF" w:themeColor="background1"/>
                <w:sz w:val="18"/>
                <w:szCs w:val="16"/>
              </w:rPr>
              <w:t>Etat écologique</w:t>
            </w:r>
          </w:p>
        </w:tc>
        <w:tc>
          <w:tcPr>
            <w:tcW w:w="1039"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C48D4" w:rsidRPr="004C48D4" w:rsidRDefault="004C48D4" w:rsidP="004C48D4">
            <w:pPr>
              <w:autoSpaceDN w:val="0"/>
              <w:spacing w:after="0" w:line="276" w:lineRule="auto"/>
              <w:jc w:val="center"/>
              <w:rPr>
                <w:rFonts w:ascii="Arial" w:hAnsi="Arial" w:cs="Arial"/>
                <w:b/>
                <w:color w:val="FFFFFF" w:themeColor="background1"/>
                <w:sz w:val="18"/>
                <w:szCs w:val="16"/>
              </w:rPr>
            </w:pPr>
            <w:r w:rsidRPr="004C48D4">
              <w:rPr>
                <w:rFonts w:ascii="Arial" w:hAnsi="Arial" w:cs="Arial"/>
                <w:b/>
                <w:color w:val="FFFFFF" w:themeColor="background1"/>
                <w:sz w:val="18"/>
                <w:szCs w:val="16"/>
              </w:rPr>
              <w:t>Etat chimique</w:t>
            </w:r>
          </w:p>
        </w:tc>
        <w:tc>
          <w:tcPr>
            <w:tcW w:w="953" w:type="pct"/>
            <w:tcBorders>
              <w:top w:val="single" w:sz="4" w:space="0" w:color="auto"/>
              <w:left w:val="single" w:sz="4" w:space="0" w:color="auto"/>
              <w:bottom w:val="single" w:sz="4" w:space="0" w:color="auto"/>
              <w:right w:val="single" w:sz="4" w:space="0" w:color="auto"/>
            </w:tcBorders>
            <w:shd w:val="clear" w:color="auto" w:fill="00B050"/>
            <w:hideMark/>
          </w:tcPr>
          <w:p w:rsidR="004C48D4" w:rsidRPr="004C48D4" w:rsidRDefault="00AF0B75" w:rsidP="004C48D4">
            <w:pPr>
              <w:autoSpaceDN w:val="0"/>
              <w:spacing w:after="0" w:line="276" w:lineRule="auto"/>
              <w:jc w:val="center"/>
              <w:rPr>
                <w:rFonts w:ascii="Arial" w:hAnsi="Arial" w:cs="Arial"/>
                <w:b/>
                <w:color w:val="FFFFFF" w:themeColor="background1"/>
                <w:sz w:val="18"/>
                <w:szCs w:val="16"/>
              </w:rPr>
            </w:pPr>
            <w:r>
              <w:rPr>
                <w:rFonts w:ascii="Arial" w:hAnsi="Arial" w:cs="Arial"/>
                <w:b/>
                <w:color w:val="FFFFFF" w:themeColor="background1"/>
                <w:sz w:val="18"/>
                <w:szCs w:val="16"/>
              </w:rPr>
              <w:t xml:space="preserve">Paramètre </w:t>
            </w:r>
            <w:r w:rsidR="004C48D4" w:rsidRPr="004C48D4">
              <w:rPr>
                <w:rFonts w:ascii="Arial" w:hAnsi="Arial" w:cs="Arial"/>
                <w:b/>
                <w:color w:val="FFFFFF" w:themeColor="background1"/>
                <w:sz w:val="18"/>
                <w:szCs w:val="16"/>
              </w:rPr>
              <w:t>déclassant</w:t>
            </w:r>
          </w:p>
        </w:tc>
      </w:tr>
      <w:tr w:rsidR="004C48D4" w:rsidRPr="001B2635" w:rsidTr="004C48D4">
        <w:trPr>
          <w:trHeight w:val="514"/>
          <w:jc w:val="center"/>
        </w:trPr>
        <w:tc>
          <w:tcPr>
            <w:tcW w:w="694" w:type="pct"/>
            <w:tcBorders>
              <w:top w:val="single" w:sz="4" w:space="0" w:color="auto"/>
              <w:left w:val="single" w:sz="4" w:space="0" w:color="auto"/>
              <w:bottom w:val="single" w:sz="4" w:space="0" w:color="auto"/>
              <w:right w:val="single" w:sz="4" w:space="0" w:color="auto"/>
            </w:tcBorders>
            <w:vAlign w:val="center"/>
            <w:hideMark/>
          </w:tcPr>
          <w:p w:rsidR="004C48D4" w:rsidRPr="001B2635" w:rsidRDefault="004C48D4" w:rsidP="004C48D4">
            <w:pPr>
              <w:autoSpaceDN w:val="0"/>
              <w:spacing w:after="0" w:line="276" w:lineRule="auto"/>
              <w:jc w:val="center"/>
              <w:rPr>
                <w:rFonts w:ascii="Arial" w:hAnsi="Arial" w:cs="Arial"/>
                <w:sz w:val="16"/>
                <w:szCs w:val="16"/>
              </w:rPr>
            </w:pPr>
            <w:r w:rsidRPr="001B2635">
              <w:rPr>
                <w:rFonts w:ascii="Arial" w:hAnsi="Arial" w:cs="Arial"/>
                <w:sz w:val="16"/>
                <w:szCs w:val="16"/>
              </w:rPr>
              <w:t>FRAR</w:t>
            </w:r>
            <w:r w:rsidR="001B2635" w:rsidRPr="001B2635">
              <w:rPr>
                <w:rFonts w:ascii="Arial" w:hAnsi="Arial" w:cs="Arial"/>
                <w:sz w:val="16"/>
                <w:szCs w:val="16"/>
              </w:rPr>
              <w:t>01</w:t>
            </w:r>
          </w:p>
        </w:tc>
        <w:tc>
          <w:tcPr>
            <w:tcW w:w="1205" w:type="pct"/>
            <w:tcBorders>
              <w:top w:val="single" w:sz="4" w:space="0" w:color="auto"/>
              <w:left w:val="single" w:sz="4" w:space="0" w:color="auto"/>
              <w:bottom w:val="single" w:sz="4" w:space="0" w:color="auto"/>
              <w:right w:val="single" w:sz="4" w:space="0" w:color="auto"/>
            </w:tcBorders>
            <w:vAlign w:val="center"/>
            <w:hideMark/>
          </w:tcPr>
          <w:p w:rsidR="004C48D4" w:rsidRPr="001B2635" w:rsidRDefault="001B2635" w:rsidP="004C48D4">
            <w:pPr>
              <w:autoSpaceDN w:val="0"/>
              <w:spacing w:after="0" w:line="276" w:lineRule="auto"/>
              <w:jc w:val="center"/>
              <w:rPr>
                <w:rFonts w:ascii="Arial" w:hAnsi="Arial" w:cs="Arial"/>
                <w:sz w:val="16"/>
                <w:szCs w:val="16"/>
              </w:rPr>
            </w:pPr>
            <w:r w:rsidRPr="001B2635">
              <w:rPr>
                <w:rFonts w:ascii="Arial" w:hAnsi="Arial" w:cs="Arial"/>
                <w:sz w:val="16"/>
                <w:szCs w:val="16"/>
              </w:rPr>
              <w:t xml:space="preserve">Aa canalisée de confluence avec le canal de </w:t>
            </w:r>
            <w:proofErr w:type="spellStart"/>
            <w:r w:rsidRPr="001B2635">
              <w:rPr>
                <w:rFonts w:ascii="Arial" w:hAnsi="Arial" w:cs="Arial"/>
                <w:sz w:val="16"/>
                <w:szCs w:val="16"/>
              </w:rPr>
              <w:t>Neufossé</w:t>
            </w:r>
            <w:proofErr w:type="spellEnd"/>
            <w:r w:rsidRPr="001B2635">
              <w:rPr>
                <w:rFonts w:ascii="Arial" w:hAnsi="Arial" w:cs="Arial"/>
                <w:sz w:val="16"/>
                <w:szCs w:val="16"/>
              </w:rPr>
              <w:t xml:space="preserve"> à la confluence avec le canal de la haute </w:t>
            </w:r>
            <w:proofErr w:type="spellStart"/>
            <w:r w:rsidRPr="001B2635">
              <w:rPr>
                <w:rFonts w:ascii="Arial" w:hAnsi="Arial" w:cs="Arial"/>
                <w:sz w:val="16"/>
                <w:szCs w:val="16"/>
              </w:rPr>
              <w:t>Colme</w:t>
            </w:r>
            <w:proofErr w:type="spellEnd"/>
          </w:p>
        </w:tc>
        <w:tc>
          <w:tcPr>
            <w:tcW w:w="1109" w:type="pct"/>
            <w:tcBorders>
              <w:top w:val="single" w:sz="4" w:space="0" w:color="auto"/>
              <w:left w:val="single" w:sz="4" w:space="0" w:color="auto"/>
              <w:bottom w:val="single" w:sz="4" w:space="0" w:color="auto"/>
              <w:right w:val="single" w:sz="4" w:space="0" w:color="auto"/>
            </w:tcBorders>
            <w:vAlign w:val="center"/>
            <w:hideMark/>
          </w:tcPr>
          <w:p w:rsidR="004C48D4" w:rsidRPr="001B2635" w:rsidRDefault="001B2635" w:rsidP="004C48D4">
            <w:pPr>
              <w:autoSpaceDN w:val="0"/>
              <w:spacing w:after="0" w:line="276" w:lineRule="auto"/>
              <w:jc w:val="center"/>
              <w:rPr>
                <w:rFonts w:ascii="Arial" w:hAnsi="Arial" w:cs="Arial"/>
                <w:sz w:val="16"/>
                <w:szCs w:val="16"/>
              </w:rPr>
            </w:pPr>
            <w:r w:rsidRPr="001B2635">
              <w:rPr>
                <w:rFonts w:ascii="Arial" w:hAnsi="Arial" w:cs="Arial"/>
                <w:sz w:val="16"/>
                <w:szCs w:val="16"/>
              </w:rPr>
              <w:t>Bon potentiel écologique</w:t>
            </w:r>
          </w:p>
        </w:tc>
        <w:tc>
          <w:tcPr>
            <w:tcW w:w="1039" w:type="pct"/>
            <w:tcBorders>
              <w:top w:val="single" w:sz="4" w:space="0" w:color="auto"/>
              <w:left w:val="single" w:sz="4" w:space="0" w:color="auto"/>
              <w:bottom w:val="single" w:sz="4" w:space="0" w:color="auto"/>
              <w:right w:val="single" w:sz="4" w:space="0" w:color="auto"/>
            </w:tcBorders>
            <w:vAlign w:val="center"/>
            <w:hideMark/>
          </w:tcPr>
          <w:p w:rsidR="004C48D4" w:rsidRPr="001B2635" w:rsidRDefault="004C48D4" w:rsidP="004C48D4">
            <w:pPr>
              <w:keepNext/>
              <w:autoSpaceDN w:val="0"/>
              <w:spacing w:after="0" w:line="276" w:lineRule="auto"/>
              <w:jc w:val="center"/>
              <w:rPr>
                <w:rFonts w:ascii="Arial" w:hAnsi="Arial" w:cs="Arial"/>
                <w:sz w:val="16"/>
                <w:szCs w:val="16"/>
              </w:rPr>
            </w:pPr>
            <w:r w:rsidRPr="001B2635">
              <w:rPr>
                <w:rFonts w:ascii="Arial" w:hAnsi="Arial" w:cs="Arial"/>
                <w:sz w:val="16"/>
                <w:szCs w:val="16"/>
              </w:rPr>
              <w:t>Etat chimique mauvais</w:t>
            </w:r>
          </w:p>
        </w:tc>
        <w:tc>
          <w:tcPr>
            <w:tcW w:w="953" w:type="pct"/>
            <w:tcBorders>
              <w:top w:val="single" w:sz="4" w:space="0" w:color="auto"/>
              <w:left w:val="single" w:sz="4" w:space="0" w:color="auto"/>
              <w:bottom w:val="single" w:sz="4" w:space="0" w:color="auto"/>
              <w:right w:val="single" w:sz="4" w:space="0" w:color="auto"/>
            </w:tcBorders>
            <w:vAlign w:val="center"/>
            <w:hideMark/>
          </w:tcPr>
          <w:p w:rsidR="004C48D4" w:rsidRPr="001B2635" w:rsidRDefault="004C48D4" w:rsidP="004C48D4">
            <w:pPr>
              <w:keepNext/>
              <w:autoSpaceDN w:val="0"/>
              <w:spacing w:after="0" w:line="276" w:lineRule="auto"/>
              <w:jc w:val="center"/>
              <w:rPr>
                <w:rFonts w:ascii="Arial" w:hAnsi="Arial" w:cs="Arial"/>
                <w:sz w:val="16"/>
                <w:szCs w:val="16"/>
              </w:rPr>
            </w:pPr>
            <w:r w:rsidRPr="001B2635">
              <w:rPr>
                <w:rFonts w:ascii="Arial" w:hAnsi="Arial" w:cs="Arial"/>
                <w:sz w:val="16"/>
                <w:szCs w:val="16"/>
              </w:rPr>
              <w:t>HAP</w:t>
            </w:r>
          </w:p>
        </w:tc>
      </w:tr>
    </w:tbl>
    <w:p w:rsidR="004C48D4" w:rsidRDefault="004C48D4" w:rsidP="004C48D4">
      <w:pPr>
        <w:jc w:val="both"/>
        <w:rPr>
          <w:rFonts w:ascii="Arial" w:hAnsi="Arial" w:cs="Arial"/>
        </w:rPr>
      </w:pPr>
    </w:p>
    <w:p w:rsidR="0051027B" w:rsidRDefault="0051027B" w:rsidP="0051027B">
      <w:pPr>
        <w:pStyle w:val="Titre2"/>
        <w:numPr>
          <w:ilvl w:val="0"/>
          <w:numId w:val="0"/>
        </w:numPr>
        <w:ind w:left="426"/>
      </w:pPr>
    </w:p>
    <w:p w:rsidR="0051027B" w:rsidRDefault="0051027B" w:rsidP="0051027B">
      <w:pPr>
        <w:rPr>
          <w:rFonts w:ascii="Arial" w:hAnsi="Arial" w:cs="Arial"/>
          <w:sz w:val="24"/>
          <w:u w:val="single"/>
        </w:rPr>
      </w:pPr>
      <w:r>
        <w:br w:type="page"/>
      </w:r>
    </w:p>
    <w:p w:rsidR="00C87116" w:rsidRDefault="00C87116" w:rsidP="00C87116">
      <w:pPr>
        <w:pStyle w:val="Titre2"/>
        <w:ind w:left="426" w:hanging="426"/>
      </w:pPr>
      <w:r>
        <w:lastRenderedPageBreak/>
        <w:t xml:space="preserve">Objectifs du SDAGE </w:t>
      </w:r>
      <w:r w:rsidR="006A11D6">
        <w:t>pour la masse d’eau</w:t>
      </w:r>
    </w:p>
    <w:p w:rsidR="006A11D6" w:rsidRPr="006A11D6" w:rsidRDefault="006A11D6" w:rsidP="006A11D6">
      <w:pPr>
        <w:spacing w:after="120" w:line="276" w:lineRule="auto"/>
        <w:jc w:val="both"/>
        <w:rPr>
          <w:rFonts w:ascii="Arial" w:hAnsi="Arial" w:cs="Arial"/>
          <w:color w:val="70AD47" w:themeColor="accent6"/>
        </w:rPr>
      </w:pPr>
      <w:r w:rsidRPr="006A11D6">
        <w:rPr>
          <w:rFonts w:ascii="Arial" w:hAnsi="Arial" w:cs="Arial"/>
        </w:rPr>
        <w:t>Le SDAGE, Schéma Directeur d'Aménagement et de Gestion des Eaux, est un document de référence pour organiser la gestion de l'eau à l'échelle du</w:t>
      </w:r>
      <w:r w:rsidRPr="006A11D6">
        <w:rPr>
          <w:rFonts w:ascii="Arial" w:hAnsi="Arial" w:cs="Arial"/>
          <w:color w:val="70AD47" w:themeColor="accent6"/>
        </w:rPr>
        <w:t xml:space="preserve"> </w:t>
      </w:r>
      <w:r w:rsidRPr="006A11D6">
        <w:rPr>
          <w:rFonts w:ascii="Arial" w:hAnsi="Arial" w:cs="Arial"/>
        </w:rPr>
        <w:t>bassin Artois-Picardie.</w:t>
      </w:r>
    </w:p>
    <w:p w:rsidR="006A11D6" w:rsidRPr="006A11D6" w:rsidRDefault="006A11D6" w:rsidP="006A11D6">
      <w:pPr>
        <w:spacing w:after="120" w:line="276" w:lineRule="auto"/>
        <w:jc w:val="both"/>
        <w:rPr>
          <w:rFonts w:ascii="Arial" w:hAnsi="Arial" w:cs="Arial"/>
        </w:rPr>
      </w:pPr>
      <w:r w:rsidRPr="006A11D6">
        <w:rPr>
          <w:rFonts w:ascii="Arial" w:hAnsi="Arial" w:cs="Arial"/>
        </w:rPr>
        <w:t>Le SDAGE du bassin Artois-Picardie 2016-2021 a été approuvé le 23 novembre 2015.</w:t>
      </w:r>
    </w:p>
    <w:p w:rsidR="006A11D6" w:rsidRPr="006A11D6" w:rsidRDefault="006A11D6" w:rsidP="006A11D6">
      <w:pPr>
        <w:spacing w:line="276" w:lineRule="auto"/>
        <w:jc w:val="both"/>
        <w:rPr>
          <w:rFonts w:ascii="Arial" w:hAnsi="Arial" w:cs="Arial"/>
        </w:rPr>
      </w:pPr>
      <w:r w:rsidRPr="006A11D6">
        <w:rPr>
          <w:rFonts w:ascii="Arial" w:hAnsi="Arial" w:cs="Arial"/>
        </w:rPr>
        <w:t xml:space="preserve">Les objectifs du SDAGE pour la </w:t>
      </w:r>
      <w:r>
        <w:rPr>
          <w:rFonts w:ascii="Arial" w:hAnsi="Arial" w:cs="Arial"/>
        </w:rPr>
        <w:t>masse d’eau FRAR</w:t>
      </w:r>
      <w:r w:rsidR="001B2635">
        <w:rPr>
          <w:rFonts w:ascii="Arial" w:hAnsi="Arial" w:cs="Arial"/>
        </w:rPr>
        <w:t>01</w:t>
      </w:r>
      <w:r>
        <w:rPr>
          <w:rFonts w:ascii="Arial" w:hAnsi="Arial" w:cs="Arial"/>
        </w:rPr>
        <w:t xml:space="preserve"> «</w:t>
      </w:r>
      <w:r w:rsidR="001B2635" w:rsidRPr="001B2635">
        <w:rPr>
          <w:rFonts w:ascii="Arial" w:hAnsi="Arial" w:cs="Arial"/>
          <w:szCs w:val="16"/>
        </w:rPr>
        <w:t>A</w:t>
      </w:r>
      <w:r w:rsidR="001B2635" w:rsidRPr="001B2635">
        <w:rPr>
          <w:rFonts w:ascii="Arial" w:hAnsi="Arial" w:cs="Arial"/>
        </w:rPr>
        <w:t xml:space="preserve">a canalisée de confluence avec le canal de </w:t>
      </w:r>
      <w:proofErr w:type="spellStart"/>
      <w:r w:rsidR="001B2635" w:rsidRPr="001B2635">
        <w:rPr>
          <w:rFonts w:ascii="Arial" w:hAnsi="Arial" w:cs="Arial"/>
        </w:rPr>
        <w:t>Neufossé</w:t>
      </w:r>
      <w:proofErr w:type="spellEnd"/>
      <w:r w:rsidR="001B2635" w:rsidRPr="001B2635">
        <w:rPr>
          <w:rFonts w:ascii="Arial" w:hAnsi="Arial" w:cs="Arial"/>
        </w:rPr>
        <w:t xml:space="preserve"> à la confluence avec le canal de la haute </w:t>
      </w:r>
      <w:proofErr w:type="spellStart"/>
      <w:r w:rsidR="001B2635" w:rsidRPr="001B2635">
        <w:rPr>
          <w:rFonts w:ascii="Arial" w:hAnsi="Arial" w:cs="Arial"/>
        </w:rPr>
        <w:t>Colme</w:t>
      </w:r>
      <w:proofErr w:type="spellEnd"/>
      <w:r>
        <w:rPr>
          <w:rFonts w:ascii="Arial" w:hAnsi="Arial" w:cs="Arial"/>
        </w:rPr>
        <w:t>» </w:t>
      </w:r>
      <w:r w:rsidRPr="006A11D6">
        <w:rPr>
          <w:rFonts w:ascii="Arial" w:hAnsi="Arial" w:cs="Arial"/>
        </w:rPr>
        <w:t>sont présentés dans le tableau suivant.</w:t>
      </w:r>
    </w:p>
    <w:p w:rsidR="006A11D6" w:rsidRDefault="006A11D6" w:rsidP="006A11D6">
      <w:pPr>
        <w:pStyle w:val="Lgende"/>
        <w:keepNext/>
        <w:spacing w:after="0"/>
      </w:pPr>
      <w:r>
        <w:t xml:space="preserve">Tableau </w:t>
      </w:r>
      <w:fldSimple w:instr=" SEQ Tableau \* ARABIC ">
        <w:r w:rsidR="00B12F45">
          <w:rPr>
            <w:noProof/>
          </w:rPr>
          <w:t>5</w:t>
        </w:r>
      </w:fldSimple>
      <w:r>
        <w:t xml:space="preserve"> : Objectifs du SDAGE pour </w:t>
      </w:r>
      <w:r w:rsidR="001B2635">
        <w:t>l’Aa canalisée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2407"/>
        <w:gridCol w:w="1562"/>
        <w:gridCol w:w="1417"/>
        <w:gridCol w:w="1135"/>
        <w:gridCol w:w="1663"/>
      </w:tblGrid>
      <w:tr w:rsidR="006A11D6" w:rsidRPr="006A11D6" w:rsidTr="00AF0B75">
        <w:trPr>
          <w:trHeight w:val="1072"/>
          <w:jc w:val="center"/>
        </w:trPr>
        <w:tc>
          <w:tcPr>
            <w:tcW w:w="594"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6A11D6" w:rsidRPr="006A11D6" w:rsidRDefault="006A11D6" w:rsidP="006A11D6">
            <w:pPr>
              <w:autoSpaceDN w:val="0"/>
              <w:spacing w:after="0" w:line="276" w:lineRule="auto"/>
              <w:jc w:val="center"/>
              <w:rPr>
                <w:rFonts w:ascii="Arial" w:hAnsi="Arial" w:cs="Arial"/>
                <w:b/>
                <w:color w:val="FFFFFF" w:themeColor="background1"/>
                <w:sz w:val="18"/>
                <w:szCs w:val="16"/>
              </w:rPr>
            </w:pPr>
            <w:r w:rsidRPr="006A11D6">
              <w:rPr>
                <w:rFonts w:ascii="Arial" w:hAnsi="Arial" w:cs="Arial"/>
                <w:b/>
                <w:color w:val="FFFFFF" w:themeColor="background1"/>
                <w:sz w:val="18"/>
                <w:szCs w:val="16"/>
              </w:rPr>
              <w:t>Code Masse d’eau</w:t>
            </w:r>
          </w:p>
        </w:tc>
        <w:tc>
          <w:tcPr>
            <w:tcW w:w="1296"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6A11D6" w:rsidRPr="006A11D6" w:rsidRDefault="006A11D6" w:rsidP="006A11D6">
            <w:pPr>
              <w:autoSpaceDN w:val="0"/>
              <w:spacing w:after="0" w:line="276" w:lineRule="auto"/>
              <w:jc w:val="center"/>
              <w:rPr>
                <w:rFonts w:ascii="Arial" w:hAnsi="Arial" w:cs="Arial"/>
                <w:b/>
                <w:color w:val="FFFFFF" w:themeColor="background1"/>
                <w:sz w:val="18"/>
                <w:szCs w:val="16"/>
              </w:rPr>
            </w:pPr>
            <w:r w:rsidRPr="006A11D6">
              <w:rPr>
                <w:rFonts w:ascii="Arial" w:hAnsi="Arial" w:cs="Arial"/>
                <w:b/>
                <w:color w:val="FFFFFF" w:themeColor="background1"/>
                <w:sz w:val="18"/>
                <w:szCs w:val="16"/>
              </w:rPr>
              <w:t>Masse d’eau</w:t>
            </w:r>
          </w:p>
        </w:tc>
        <w:tc>
          <w:tcPr>
            <w:tcW w:w="841"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6A11D6" w:rsidRPr="006A11D6" w:rsidRDefault="006A11D6" w:rsidP="006A11D6">
            <w:pPr>
              <w:autoSpaceDN w:val="0"/>
              <w:spacing w:after="0" w:line="276" w:lineRule="auto"/>
              <w:jc w:val="center"/>
              <w:rPr>
                <w:rFonts w:ascii="Arial" w:hAnsi="Arial" w:cs="Arial"/>
                <w:b/>
                <w:color w:val="FFFFFF" w:themeColor="background1"/>
                <w:sz w:val="18"/>
                <w:szCs w:val="16"/>
              </w:rPr>
            </w:pPr>
            <w:r w:rsidRPr="006A11D6">
              <w:rPr>
                <w:rFonts w:ascii="Arial" w:hAnsi="Arial" w:cs="Arial"/>
                <w:b/>
                <w:color w:val="FFFFFF" w:themeColor="background1"/>
                <w:sz w:val="18"/>
                <w:szCs w:val="16"/>
              </w:rPr>
              <w:t>Objectif d’état écologique</w:t>
            </w:r>
          </w:p>
        </w:tc>
        <w:tc>
          <w:tcPr>
            <w:tcW w:w="763"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6A11D6" w:rsidRPr="006A11D6" w:rsidRDefault="006A11D6" w:rsidP="006A11D6">
            <w:pPr>
              <w:autoSpaceDN w:val="0"/>
              <w:spacing w:after="0" w:line="276" w:lineRule="auto"/>
              <w:jc w:val="center"/>
              <w:rPr>
                <w:rFonts w:ascii="Arial" w:hAnsi="Arial" w:cs="Arial"/>
                <w:b/>
                <w:color w:val="FFFFFF" w:themeColor="background1"/>
                <w:sz w:val="18"/>
                <w:szCs w:val="16"/>
              </w:rPr>
            </w:pPr>
            <w:r w:rsidRPr="006A11D6">
              <w:rPr>
                <w:rFonts w:ascii="Arial" w:hAnsi="Arial" w:cs="Arial"/>
                <w:b/>
                <w:color w:val="FFFFFF" w:themeColor="background1"/>
                <w:sz w:val="18"/>
                <w:szCs w:val="16"/>
              </w:rPr>
              <w:t>Paramètres cause dérogation</w:t>
            </w:r>
          </w:p>
        </w:tc>
        <w:tc>
          <w:tcPr>
            <w:tcW w:w="611"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6A11D6" w:rsidRPr="006A11D6" w:rsidRDefault="006A11D6" w:rsidP="006A11D6">
            <w:pPr>
              <w:autoSpaceDN w:val="0"/>
              <w:spacing w:after="0" w:line="276" w:lineRule="auto"/>
              <w:jc w:val="center"/>
              <w:rPr>
                <w:rFonts w:ascii="Arial" w:hAnsi="Arial" w:cs="Arial"/>
                <w:b/>
                <w:color w:val="FFFFFF" w:themeColor="background1"/>
                <w:sz w:val="18"/>
                <w:szCs w:val="16"/>
              </w:rPr>
            </w:pPr>
            <w:r w:rsidRPr="006A11D6">
              <w:rPr>
                <w:rFonts w:ascii="Arial" w:hAnsi="Arial" w:cs="Arial"/>
                <w:b/>
                <w:color w:val="FFFFFF" w:themeColor="background1"/>
                <w:sz w:val="18"/>
                <w:szCs w:val="16"/>
              </w:rPr>
              <w:t>Raisons</w:t>
            </w:r>
          </w:p>
        </w:tc>
        <w:tc>
          <w:tcPr>
            <w:tcW w:w="896"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6A11D6" w:rsidRPr="006A11D6" w:rsidRDefault="006A11D6" w:rsidP="006A11D6">
            <w:pPr>
              <w:autoSpaceDN w:val="0"/>
              <w:spacing w:after="0" w:line="276" w:lineRule="auto"/>
              <w:jc w:val="center"/>
              <w:rPr>
                <w:rFonts w:ascii="Arial" w:hAnsi="Arial" w:cs="Arial"/>
                <w:b/>
                <w:color w:val="FFFFFF" w:themeColor="background1"/>
                <w:sz w:val="18"/>
                <w:szCs w:val="16"/>
              </w:rPr>
            </w:pPr>
            <w:r w:rsidRPr="006A11D6">
              <w:rPr>
                <w:rFonts w:ascii="Arial" w:hAnsi="Arial" w:cs="Arial"/>
                <w:b/>
                <w:color w:val="FFFFFF" w:themeColor="background1"/>
                <w:sz w:val="18"/>
                <w:szCs w:val="16"/>
              </w:rPr>
              <w:t>Objectif d’état chimique</w:t>
            </w:r>
          </w:p>
        </w:tc>
      </w:tr>
      <w:tr w:rsidR="001B2635" w:rsidRPr="006A11D6" w:rsidTr="00AF0B75">
        <w:trPr>
          <w:trHeight w:val="834"/>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1B2635" w:rsidRPr="001B2635" w:rsidRDefault="001B2635" w:rsidP="001B2635">
            <w:pPr>
              <w:autoSpaceDN w:val="0"/>
              <w:spacing w:after="0" w:line="276" w:lineRule="auto"/>
              <w:jc w:val="center"/>
              <w:rPr>
                <w:rFonts w:ascii="Arial" w:hAnsi="Arial" w:cs="Arial"/>
                <w:sz w:val="16"/>
                <w:szCs w:val="16"/>
              </w:rPr>
            </w:pPr>
            <w:r w:rsidRPr="001B2635">
              <w:rPr>
                <w:rFonts w:ascii="Arial" w:hAnsi="Arial" w:cs="Arial"/>
                <w:sz w:val="16"/>
                <w:szCs w:val="16"/>
              </w:rPr>
              <w:t>FRAR01</w:t>
            </w:r>
          </w:p>
        </w:tc>
        <w:tc>
          <w:tcPr>
            <w:tcW w:w="1296" w:type="pct"/>
            <w:tcBorders>
              <w:top w:val="single" w:sz="4" w:space="0" w:color="auto"/>
              <w:left w:val="single" w:sz="4" w:space="0" w:color="auto"/>
              <w:bottom w:val="single" w:sz="4" w:space="0" w:color="auto"/>
              <w:right w:val="single" w:sz="4" w:space="0" w:color="auto"/>
            </w:tcBorders>
            <w:vAlign w:val="center"/>
            <w:hideMark/>
          </w:tcPr>
          <w:p w:rsidR="001B2635" w:rsidRPr="001B2635" w:rsidRDefault="001B2635" w:rsidP="001B2635">
            <w:pPr>
              <w:autoSpaceDN w:val="0"/>
              <w:spacing w:after="0" w:line="276" w:lineRule="auto"/>
              <w:jc w:val="center"/>
              <w:rPr>
                <w:rFonts w:ascii="Arial" w:hAnsi="Arial" w:cs="Arial"/>
                <w:sz w:val="16"/>
                <w:szCs w:val="16"/>
              </w:rPr>
            </w:pPr>
            <w:r w:rsidRPr="001B2635">
              <w:rPr>
                <w:rFonts w:ascii="Arial" w:hAnsi="Arial" w:cs="Arial"/>
                <w:sz w:val="16"/>
                <w:szCs w:val="16"/>
              </w:rPr>
              <w:t xml:space="preserve">Aa canalisée de confluence avec le canal de </w:t>
            </w:r>
            <w:proofErr w:type="spellStart"/>
            <w:r w:rsidRPr="001B2635">
              <w:rPr>
                <w:rFonts w:ascii="Arial" w:hAnsi="Arial" w:cs="Arial"/>
                <w:sz w:val="16"/>
                <w:szCs w:val="16"/>
              </w:rPr>
              <w:t>Neufossé</w:t>
            </w:r>
            <w:proofErr w:type="spellEnd"/>
            <w:r w:rsidRPr="001B2635">
              <w:rPr>
                <w:rFonts w:ascii="Arial" w:hAnsi="Arial" w:cs="Arial"/>
                <w:sz w:val="16"/>
                <w:szCs w:val="16"/>
              </w:rPr>
              <w:t xml:space="preserve"> à la confluence avec le canal de la haute </w:t>
            </w:r>
            <w:proofErr w:type="spellStart"/>
            <w:r w:rsidRPr="001B2635">
              <w:rPr>
                <w:rFonts w:ascii="Arial" w:hAnsi="Arial" w:cs="Arial"/>
                <w:sz w:val="16"/>
                <w:szCs w:val="16"/>
              </w:rPr>
              <w:t>Colme</w:t>
            </w:r>
            <w:proofErr w:type="spellEnd"/>
          </w:p>
        </w:tc>
        <w:tc>
          <w:tcPr>
            <w:tcW w:w="841" w:type="pct"/>
            <w:tcBorders>
              <w:top w:val="single" w:sz="4" w:space="0" w:color="auto"/>
              <w:left w:val="single" w:sz="4" w:space="0" w:color="auto"/>
              <w:bottom w:val="single" w:sz="4" w:space="0" w:color="auto"/>
              <w:right w:val="single" w:sz="4" w:space="0" w:color="auto"/>
            </w:tcBorders>
            <w:vAlign w:val="center"/>
            <w:hideMark/>
          </w:tcPr>
          <w:p w:rsidR="001B2635" w:rsidRPr="006A11D6" w:rsidRDefault="001B2635" w:rsidP="001B2635">
            <w:pPr>
              <w:autoSpaceDN w:val="0"/>
              <w:spacing w:after="0" w:line="276" w:lineRule="auto"/>
              <w:jc w:val="center"/>
              <w:rPr>
                <w:rFonts w:ascii="Arial" w:hAnsi="Arial" w:cs="Arial"/>
                <w:sz w:val="16"/>
                <w:szCs w:val="16"/>
              </w:rPr>
            </w:pPr>
            <w:r w:rsidRPr="006A11D6">
              <w:rPr>
                <w:rFonts w:ascii="Arial" w:hAnsi="Arial" w:cs="Arial"/>
                <w:sz w:val="16"/>
                <w:szCs w:val="16"/>
              </w:rPr>
              <w:t>Bon potentiel écologique  202</w:t>
            </w:r>
            <w:r>
              <w:rPr>
                <w:rFonts w:ascii="Arial" w:hAnsi="Arial" w:cs="Arial"/>
                <w:sz w:val="16"/>
                <w:szCs w:val="16"/>
              </w:rPr>
              <w:t>1</w:t>
            </w:r>
          </w:p>
        </w:tc>
        <w:tc>
          <w:tcPr>
            <w:tcW w:w="763" w:type="pct"/>
            <w:tcBorders>
              <w:top w:val="single" w:sz="4" w:space="0" w:color="auto"/>
              <w:left w:val="single" w:sz="4" w:space="0" w:color="auto"/>
              <w:bottom w:val="single" w:sz="4" w:space="0" w:color="auto"/>
              <w:right w:val="single" w:sz="4" w:space="0" w:color="auto"/>
            </w:tcBorders>
            <w:vAlign w:val="center"/>
            <w:hideMark/>
          </w:tcPr>
          <w:p w:rsidR="001B2635" w:rsidRPr="006A11D6" w:rsidRDefault="001B2635" w:rsidP="006A11D6">
            <w:pPr>
              <w:autoSpaceDN w:val="0"/>
              <w:spacing w:after="0" w:line="276" w:lineRule="auto"/>
              <w:jc w:val="center"/>
              <w:rPr>
                <w:rFonts w:ascii="Arial" w:hAnsi="Arial" w:cs="Arial"/>
                <w:sz w:val="16"/>
                <w:szCs w:val="16"/>
              </w:rPr>
            </w:pPr>
            <w:r w:rsidRPr="006A11D6">
              <w:rPr>
                <w:rFonts w:ascii="Arial" w:hAnsi="Arial" w:cs="Arial"/>
                <w:sz w:val="16"/>
                <w:szCs w:val="16"/>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1B2635" w:rsidRPr="006A11D6" w:rsidRDefault="001B2635" w:rsidP="001B2635">
            <w:pPr>
              <w:autoSpaceDN w:val="0"/>
              <w:spacing w:after="0" w:line="276" w:lineRule="auto"/>
              <w:jc w:val="center"/>
              <w:rPr>
                <w:rFonts w:ascii="Arial" w:hAnsi="Arial" w:cs="Arial"/>
                <w:sz w:val="16"/>
                <w:szCs w:val="16"/>
              </w:rPr>
            </w:pPr>
            <w:r>
              <w:rPr>
                <w:rFonts w:ascii="Arial" w:hAnsi="Arial" w:cs="Arial"/>
                <w:sz w:val="16"/>
                <w:szCs w:val="16"/>
              </w:rPr>
              <w:t>/</w:t>
            </w:r>
          </w:p>
        </w:tc>
        <w:tc>
          <w:tcPr>
            <w:tcW w:w="896" w:type="pct"/>
            <w:tcBorders>
              <w:top w:val="single" w:sz="4" w:space="0" w:color="auto"/>
              <w:left w:val="single" w:sz="4" w:space="0" w:color="auto"/>
              <w:bottom w:val="single" w:sz="4" w:space="0" w:color="auto"/>
              <w:right w:val="single" w:sz="4" w:space="0" w:color="auto"/>
            </w:tcBorders>
            <w:vAlign w:val="center"/>
            <w:hideMark/>
          </w:tcPr>
          <w:p w:rsidR="001B2635" w:rsidRPr="006A11D6" w:rsidRDefault="001B2635" w:rsidP="006A11D6">
            <w:pPr>
              <w:autoSpaceDN w:val="0"/>
              <w:spacing w:after="0" w:line="276" w:lineRule="auto"/>
              <w:jc w:val="center"/>
              <w:rPr>
                <w:rFonts w:ascii="Arial" w:hAnsi="Arial" w:cs="Arial"/>
                <w:sz w:val="16"/>
                <w:szCs w:val="16"/>
                <w:highlight w:val="red"/>
              </w:rPr>
            </w:pPr>
            <w:r w:rsidRPr="006A11D6">
              <w:rPr>
                <w:rFonts w:ascii="Arial" w:hAnsi="Arial" w:cs="Arial"/>
                <w:sz w:val="16"/>
                <w:szCs w:val="16"/>
              </w:rPr>
              <w:t>Bon état chimique 2027</w:t>
            </w:r>
          </w:p>
        </w:tc>
      </w:tr>
    </w:tbl>
    <w:p w:rsidR="006A11D6" w:rsidRDefault="006A11D6" w:rsidP="006A11D6">
      <w:pPr>
        <w:spacing w:after="0" w:line="276" w:lineRule="auto"/>
        <w:jc w:val="both"/>
        <w:rPr>
          <w:rFonts w:ascii="Arial" w:hAnsi="Arial" w:cs="Arial"/>
        </w:rPr>
      </w:pPr>
    </w:p>
    <w:p w:rsidR="006A11D6" w:rsidRPr="006A11D6" w:rsidRDefault="006A11D6" w:rsidP="006A11D6">
      <w:pPr>
        <w:spacing w:after="0" w:line="276" w:lineRule="auto"/>
        <w:jc w:val="both"/>
        <w:rPr>
          <w:rFonts w:ascii="Arial" w:hAnsi="Arial" w:cs="Arial"/>
        </w:rPr>
      </w:pPr>
      <w:r w:rsidRPr="006A11D6">
        <w:rPr>
          <w:rFonts w:ascii="Arial" w:hAnsi="Arial" w:cs="Arial"/>
        </w:rPr>
        <w:t xml:space="preserve">L’objectif </w:t>
      </w:r>
      <w:r>
        <w:rPr>
          <w:rFonts w:ascii="Arial" w:hAnsi="Arial" w:cs="Arial"/>
        </w:rPr>
        <w:t>de cette</w:t>
      </w:r>
      <w:r w:rsidRPr="006A11D6">
        <w:rPr>
          <w:rFonts w:ascii="Arial" w:hAnsi="Arial" w:cs="Arial"/>
        </w:rPr>
        <w:t xml:space="preserve"> étude d’acceptabilité des rejets du site est de démontrer que </w:t>
      </w:r>
      <w:r>
        <w:rPr>
          <w:rFonts w:ascii="Arial" w:hAnsi="Arial" w:cs="Arial"/>
        </w:rPr>
        <w:t>les rejets d’eaux pluviales du site dans le milieu naturel ne compromettront</w:t>
      </w:r>
      <w:r w:rsidRPr="006A11D6">
        <w:rPr>
          <w:rFonts w:ascii="Arial" w:hAnsi="Arial" w:cs="Arial"/>
        </w:rPr>
        <w:t xml:space="preserve"> pas l’atteinte de ces objectifs d’état écologique et chimique.</w:t>
      </w:r>
    </w:p>
    <w:p w:rsidR="006A11D6" w:rsidRPr="006A11D6" w:rsidRDefault="006A11D6" w:rsidP="006A11D6"/>
    <w:p w:rsidR="00576784" w:rsidRDefault="00576784" w:rsidP="00576784">
      <w:pPr>
        <w:pStyle w:val="Titre1"/>
      </w:pPr>
      <w:r>
        <w:t>Source et nature des rejets aqueux</w:t>
      </w:r>
    </w:p>
    <w:p w:rsidR="00AF0B75" w:rsidRDefault="00AF0B75" w:rsidP="003D4F14">
      <w:pPr>
        <w:spacing w:line="276" w:lineRule="auto"/>
        <w:jc w:val="both"/>
        <w:rPr>
          <w:rFonts w:ascii="Arial" w:hAnsi="Arial" w:cs="Arial"/>
        </w:rPr>
      </w:pPr>
      <w:r>
        <w:rPr>
          <w:rFonts w:ascii="Arial" w:hAnsi="Arial" w:cs="Arial"/>
        </w:rPr>
        <w:t xml:space="preserve">Les rejets </w:t>
      </w:r>
      <w:r w:rsidR="003D4F14">
        <w:rPr>
          <w:rFonts w:ascii="Arial" w:hAnsi="Arial" w:cs="Arial"/>
        </w:rPr>
        <w:t xml:space="preserve">d’eaux pluviales et d’eaux industrielles du site se font tous les deux dans le réseau du site ARC International avant de rejoindre le Canal de </w:t>
      </w:r>
      <w:proofErr w:type="spellStart"/>
      <w:r w:rsidR="003D4F14">
        <w:rPr>
          <w:rFonts w:ascii="Arial" w:hAnsi="Arial" w:cs="Arial"/>
        </w:rPr>
        <w:t>Neuffossé</w:t>
      </w:r>
      <w:proofErr w:type="spellEnd"/>
      <w:r w:rsidR="003D4F14">
        <w:rPr>
          <w:rFonts w:ascii="Arial" w:hAnsi="Arial" w:cs="Arial"/>
        </w:rPr>
        <w:t>.</w:t>
      </w:r>
    </w:p>
    <w:p w:rsidR="003D4F14" w:rsidRPr="003D4F14" w:rsidRDefault="003D4F14" w:rsidP="003D4F14">
      <w:pPr>
        <w:spacing w:line="276" w:lineRule="auto"/>
        <w:jc w:val="both"/>
        <w:rPr>
          <w:rFonts w:ascii="Arial" w:hAnsi="Arial" w:cs="Arial"/>
        </w:rPr>
      </w:pPr>
      <w:r w:rsidRPr="003D4F14">
        <w:rPr>
          <w:rFonts w:ascii="Arial" w:hAnsi="Arial" w:cs="Arial"/>
        </w:rPr>
        <w:t>Les valeurs moyennes des concentrations et flux de polluant des rejets aqueux d’</w:t>
      </w:r>
      <w:proofErr w:type="spellStart"/>
      <w:r w:rsidRPr="003D4F14">
        <w:rPr>
          <w:rFonts w:ascii="Arial" w:hAnsi="Arial" w:cs="Arial"/>
        </w:rPr>
        <w:t>Alphaglass</w:t>
      </w:r>
      <w:proofErr w:type="spellEnd"/>
      <w:r w:rsidRPr="003D4F14">
        <w:rPr>
          <w:rFonts w:ascii="Arial" w:hAnsi="Arial" w:cs="Arial"/>
        </w:rPr>
        <w:t xml:space="preserve"> </w:t>
      </w:r>
      <w:r>
        <w:rPr>
          <w:rFonts w:ascii="Arial" w:hAnsi="Arial" w:cs="Arial"/>
        </w:rPr>
        <w:t>des cinq dernières années ont été présentées au chapitre 4 du présent dossier « Etude d’impact – Compléments ».</w:t>
      </w:r>
      <w:r w:rsidRPr="003D4F14">
        <w:rPr>
          <w:rFonts w:ascii="Arial" w:hAnsi="Arial" w:cs="Arial"/>
        </w:rPr>
        <w:t xml:space="preserve"> Ces résultats </w:t>
      </w:r>
      <w:r>
        <w:rPr>
          <w:rFonts w:ascii="Arial" w:hAnsi="Arial" w:cs="Arial"/>
        </w:rPr>
        <w:t>ont été</w:t>
      </w:r>
      <w:r w:rsidRPr="003D4F14">
        <w:rPr>
          <w:rFonts w:ascii="Arial" w:hAnsi="Arial" w:cs="Arial"/>
        </w:rPr>
        <w:t xml:space="preserve"> comparés aux valeurs limites de l’arrêté</w:t>
      </w:r>
      <w:r w:rsidR="00B12F45" w:rsidRPr="00B12F45">
        <w:t xml:space="preserve"> </w:t>
      </w:r>
      <w:r w:rsidR="00B12F45" w:rsidRPr="00B12F45">
        <w:rPr>
          <w:rFonts w:ascii="Arial" w:hAnsi="Arial" w:cs="Arial"/>
        </w:rPr>
        <w:t>préfectoral complément</w:t>
      </w:r>
      <w:r w:rsidR="00B12F45">
        <w:rPr>
          <w:rFonts w:ascii="Arial" w:hAnsi="Arial" w:cs="Arial"/>
        </w:rPr>
        <w:t>aire du site du 10 février 2017 et aux NEA-MTD et aucuns dépassements n’ont été relevés.</w:t>
      </w:r>
    </w:p>
    <w:p w:rsidR="003D4F14" w:rsidRPr="003D4F14" w:rsidRDefault="00B12F45" w:rsidP="003D4F14">
      <w:pPr>
        <w:spacing w:line="276" w:lineRule="auto"/>
        <w:jc w:val="both"/>
        <w:rPr>
          <w:rFonts w:ascii="Arial" w:hAnsi="Arial" w:cs="Arial"/>
        </w:rPr>
      </w:pPr>
      <w:r>
        <w:rPr>
          <w:rFonts w:ascii="Arial" w:hAnsi="Arial" w:cs="Arial"/>
        </w:rPr>
        <w:t>L’installation du nouveau four et surtout l’augmentation de la capacité de production va engendrer une augmentation des flux de polluants rejetés. En effet, c</w:t>
      </w:r>
      <w:r w:rsidR="003D4F14" w:rsidRPr="003D4F14">
        <w:rPr>
          <w:rFonts w:ascii="Arial" w:hAnsi="Arial" w:cs="Arial"/>
        </w:rPr>
        <w:t>onsidérant que les débits consommés et rejetés sont proportionnés au tonnage tiré, les concentrations en polluant rejetés demeureront stables après mise en œuvre du projet.</w:t>
      </w:r>
    </w:p>
    <w:p w:rsidR="003D4F14" w:rsidRPr="003D4F14" w:rsidRDefault="003D4F14" w:rsidP="003D4F14">
      <w:pPr>
        <w:spacing w:line="276" w:lineRule="auto"/>
        <w:jc w:val="both"/>
        <w:rPr>
          <w:rFonts w:ascii="Arial" w:hAnsi="Arial" w:cs="Arial"/>
        </w:rPr>
      </w:pPr>
      <w:r w:rsidRPr="003D4F14">
        <w:rPr>
          <w:rFonts w:ascii="Arial" w:hAnsi="Arial" w:cs="Arial"/>
        </w:rPr>
        <w:t>Ainsi, à iso-concentration et pour un volume rejeté augmenté de 25%, les flux journaliers par polluant se verront également augmentés de 25%. Le tableau ci-après fait état d’une estimation des concentrations et flux futurs et de leur positionnement par rapport aux valeurs prescrites dans l’arrêté du 10 février 2017 ainsi que dans le tableau 5 des NEA-MTD.</w:t>
      </w:r>
    </w:p>
    <w:p w:rsidR="00B12F45" w:rsidRDefault="00B12F45" w:rsidP="00B12F45">
      <w:pPr>
        <w:pStyle w:val="Lgende"/>
        <w:keepNext/>
        <w:spacing w:after="0"/>
      </w:pPr>
      <w:r>
        <w:lastRenderedPageBreak/>
        <w:t xml:space="preserve">Tableau </w:t>
      </w:r>
      <w:fldSimple w:instr=" SEQ Tableau \* ARABIC ">
        <w:r>
          <w:rPr>
            <w:noProof/>
          </w:rPr>
          <w:t>6</w:t>
        </w:r>
      </w:fldSimple>
      <w:r>
        <w:rPr>
          <w:noProof/>
        </w:rPr>
        <w:t xml:space="preserve"> : Rejets futurs prévisionnels</w:t>
      </w:r>
    </w:p>
    <w:p w:rsidR="003D4F14" w:rsidRDefault="00B12F45" w:rsidP="003D4F14">
      <w:pPr>
        <w:rPr>
          <w:highlight w:val="yellow"/>
        </w:rPr>
      </w:pPr>
      <w:r w:rsidRPr="00B12F45">
        <w:rPr>
          <w:noProof/>
          <w:lang w:eastAsia="fr-FR"/>
        </w:rPr>
        <w:drawing>
          <wp:inline distT="0" distB="0" distL="0" distR="0">
            <wp:extent cx="5760720" cy="2541062"/>
            <wp:effectExtent l="19050" t="0" r="0" b="0"/>
            <wp:docPr id="1" name="Image 4"/>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541062"/>
                    </a:xfrm>
                    <a:prstGeom prst="rect">
                      <a:avLst/>
                    </a:prstGeom>
                    <a:noFill/>
                    <a:ln>
                      <a:noFill/>
                    </a:ln>
                  </pic:spPr>
                </pic:pic>
              </a:graphicData>
            </a:graphic>
          </wp:inline>
        </w:drawing>
      </w:r>
    </w:p>
    <w:p w:rsidR="00EF31B3" w:rsidRPr="00EF31B3" w:rsidRDefault="00EF31B3" w:rsidP="00EF31B3">
      <w:pPr>
        <w:spacing w:line="276" w:lineRule="auto"/>
        <w:jc w:val="both"/>
        <w:rPr>
          <w:rFonts w:ascii="Arial" w:hAnsi="Arial" w:cs="Arial"/>
        </w:rPr>
      </w:pPr>
      <w:r>
        <w:rPr>
          <w:rFonts w:ascii="Arial" w:hAnsi="Arial" w:cs="Arial"/>
        </w:rPr>
        <w:t xml:space="preserve">Concernant le débit </w:t>
      </w:r>
      <w:r w:rsidRPr="00EF31B3">
        <w:rPr>
          <w:rFonts w:ascii="Arial" w:hAnsi="Arial" w:cs="Arial"/>
        </w:rPr>
        <w:t>cumulé d’eaux résiduaires du site</w:t>
      </w:r>
      <w:r>
        <w:rPr>
          <w:rFonts w:ascii="Arial" w:hAnsi="Arial" w:cs="Arial"/>
        </w:rPr>
        <w:t>, il</w:t>
      </w:r>
      <w:r w:rsidRPr="00EF31B3">
        <w:rPr>
          <w:rFonts w:ascii="Arial" w:hAnsi="Arial" w:cs="Arial"/>
        </w:rPr>
        <w:t xml:space="preserve"> ne doit pas dépasser 200 m</w:t>
      </w:r>
      <w:r w:rsidRPr="00EF31B3">
        <w:rPr>
          <w:rFonts w:ascii="Arial" w:hAnsi="Arial" w:cs="Arial"/>
          <w:vertAlign w:val="superscript"/>
        </w:rPr>
        <w:t>3</w:t>
      </w:r>
      <w:r w:rsidRPr="00EF31B3">
        <w:rPr>
          <w:rFonts w:ascii="Arial" w:hAnsi="Arial" w:cs="Arial"/>
        </w:rPr>
        <w:t>/j</w:t>
      </w:r>
      <w:r>
        <w:rPr>
          <w:rFonts w:ascii="Arial" w:hAnsi="Arial" w:cs="Arial"/>
        </w:rPr>
        <w:t xml:space="preserve"> selon l’arrêté du 10 février 2017</w:t>
      </w:r>
      <w:r w:rsidRPr="00EF31B3">
        <w:rPr>
          <w:rFonts w:ascii="Arial" w:hAnsi="Arial" w:cs="Arial"/>
        </w:rPr>
        <w:t>. Le tableau ci-après présente les débits rejetés sur les 5 dernières années, rapportés au volume journalier et comparés à la valeur de 200 m</w:t>
      </w:r>
      <w:r w:rsidRPr="00EF31B3">
        <w:rPr>
          <w:rFonts w:ascii="Arial" w:hAnsi="Arial" w:cs="Arial"/>
          <w:vertAlign w:val="superscript"/>
        </w:rPr>
        <w:t>3</w:t>
      </w:r>
      <w:r w:rsidRPr="00EF31B3">
        <w:rPr>
          <w:rFonts w:ascii="Arial" w:hAnsi="Arial" w:cs="Arial"/>
        </w:rPr>
        <w:t>/j prescrite dans l’arrêté du 10 février 2017, ainsi que la prévision de débit de rejet au démarrage de l’exploitation dans sa nouvelle configuration :</w:t>
      </w:r>
    </w:p>
    <w:p w:rsidR="00EF31B3" w:rsidRDefault="00EF31B3" w:rsidP="00EF31B3">
      <w:pPr>
        <w:pStyle w:val="Lgende"/>
        <w:keepNext/>
        <w:spacing w:after="0"/>
      </w:pPr>
      <w:r>
        <w:t xml:space="preserve">Tableau </w:t>
      </w:r>
      <w:fldSimple w:instr=" SEQ Tableau \* ARABIC ">
        <w:r w:rsidR="00B12F45">
          <w:rPr>
            <w:noProof/>
          </w:rPr>
          <w:t>8</w:t>
        </w:r>
      </w:fldSimple>
      <w:r>
        <w:t xml:space="preserve"> : Volumes des rejets prévisionnels du site</w:t>
      </w:r>
    </w:p>
    <w:p w:rsidR="00EF31B3" w:rsidRDefault="00EF31B3" w:rsidP="00EF31B3">
      <w:pPr>
        <w:ind w:left="-284"/>
      </w:pPr>
      <w:r w:rsidRPr="006C0361">
        <w:rPr>
          <w:noProof/>
          <w:lang w:eastAsia="fr-FR"/>
        </w:rPr>
        <w:drawing>
          <wp:inline distT="0" distB="0" distL="0" distR="0">
            <wp:extent cx="6105705" cy="1268083"/>
            <wp:effectExtent l="19050" t="0" r="9345" b="0"/>
            <wp:docPr id="7" name="Image 5"/>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128113" cy="1272737"/>
                    </a:xfrm>
                    <a:prstGeom prst="rect">
                      <a:avLst/>
                    </a:prstGeom>
                    <a:noFill/>
                    <a:ln>
                      <a:noFill/>
                    </a:ln>
                  </pic:spPr>
                </pic:pic>
              </a:graphicData>
            </a:graphic>
          </wp:inline>
        </w:drawing>
      </w:r>
    </w:p>
    <w:p w:rsidR="0051027B" w:rsidRPr="00EF31B3" w:rsidRDefault="00EF31B3" w:rsidP="00EA750B">
      <w:pPr>
        <w:spacing w:line="276" w:lineRule="auto"/>
        <w:jc w:val="both"/>
        <w:rPr>
          <w:rFonts w:ascii="Arial" w:hAnsi="Arial" w:cs="Arial"/>
        </w:rPr>
      </w:pPr>
      <w:r>
        <w:rPr>
          <w:rFonts w:ascii="Arial" w:hAnsi="Arial" w:cs="Arial"/>
        </w:rPr>
        <w:t>Le débit pris en compte dans les calculs suivant est donc de 75 m</w:t>
      </w:r>
      <w:r>
        <w:rPr>
          <w:rFonts w:ascii="Arial" w:hAnsi="Arial" w:cs="Arial"/>
          <w:vertAlign w:val="superscript"/>
        </w:rPr>
        <w:t>3</w:t>
      </w:r>
      <w:r>
        <w:rPr>
          <w:rFonts w:ascii="Arial" w:hAnsi="Arial" w:cs="Arial"/>
        </w:rPr>
        <w:t>/j.</w:t>
      </w:r>
    </w:p>
    <w:p w:rsidR="00B12F45" w:rsidRDefault="00B12F45">
      <w:pPr>
        <w:rPr>
          <w:rFonts w:ascii="Arial" w:hAnsi="Arial" w:cs="Arial"/>
          <w:b/>
          <w:sz w:val="36"/>
        </w:rPr>
      </w:pPr>
      <w:r>
        <w:br w:type="page"/>
      </w:r>
    </w:p>
    <w:p w:rsidR="00576784" w:rsidRDefault="00576784" w:rsidP="0051027B">
      <w:pPr>
        <w:pStyle w:val="Titre1"/>
        <w:spacing w:after="240"/>
        <w:ind w:left="357" w:hanging="357"/>
        <w:contextualSpacing w:val="0"/>
      </w:pPr>
      <w:r>
        <w:lastRenderedPageBreak/>
        <w:t>Incidences des rejets d’eaux sur l’environnement</w:t>
      </w:r>
    </w:p>
    <w:p w:rsidR="00576784" w:rsidRDefault="00576784" w:rsidP="0051027B">
      <w:pPr>
        <w:pStyle w:val="Titre2"/>
        <w:spacing w:after="240"/>
        <w:ind w:left="425" w:hanging="425"/>
        <w:contextualSpacing w:val="0"/>
      </w:pPr>
      <w:r>
        <w:t xml:space="preserve">Méthodologie </w:t>
      </w:r>
    </w:p>
    <w:p w:rsidR="00576784" w:rsidRPr="008740FC" w:rsidRDefault="00576784" w:rsidP="00576784">
      <w:pPr>
        <w:spacing w:line="276" w:lineRule="auto"/>
        <w:jc w:val="both"/>
        <w:rPr>
          <w:rFonts w:ascii="Arial" w:hAnsi="Arial" w:cs="Arial"/>
        </w:rPr>
      </w:pPr>
      <w:r w:rsidRPr="00576784">
        <w:rPr>
          <w:rFonts w:ascii="Arial" w:hAnsi="Arial" w:cs="Arial"/>
        </w:rPr>
        <w:t>Afin d’étudi</w:t>
      </w:r>
      <w:r w:rsidR="00B12F45">
        <w:rPr>
          <w:rFonts w:ascii="Arial" w:hAnsi="Arial" w:cs="Arial"/>
        </w:rPr>
        <w:t xml:space="preserve">er l’incidence des rejets aqueux du site </w:t>
      </w:r>
      <w:proofErr w:type="spellStart"/>
      <w:r w:rsidR="00B12F45">
        <w:rPr>
          <w:rFonts w:ascii="Arial" w:hAnsi="Arial" w:cs="Arial"/>
        </w:rPr>
        <w:t>Alphaglass</w:t>
      </w:r>
      <w:proofErr w:type="spellEnd"/>
      <w:r w:rsidR="00B12F45">
        <w:rPr>
          <w:rFonts w:ascii="Arial" w:hAnsi="Arial" w:cs="Arial"/>
        </w:rPr>
        <w:t xml:space="preserve"> </w:t>
      </w:r>
      <w:r w:rsidRPr="00576784">
        <w:rPr>
          <w:rFonts w:ascii="Arial" w:hAnsi="Arial" w:cs="Arial"/>
        </w:rPr>
        <w:t>sur la qualité de l’eau de l’</w:t>
      </w:r>
      <w:r w:rsidR="000D6E57">
        <w:rPr>
          <w:rFonts w:ascii="Arial" w:hAnsi="Arial" w:cs="Arial"/>
        </w:rPr>
        <w:t>Aa canalisé</w:t>
      </w:r>
      <w:r w:rsidRPr="00576784">
        <w:rPr>
          <w:rFonts w:ascii="Arial" w:hAnsi="Arial" w:cs="Arial"/>
        </w:rPr>
        <w:t xml:space="preserve">, le guide technique relatif  aux modalités de prise en compte des objectifs de la directive cadre </w:t>
      </w:r>
      <w:r w:rsidRPr="008740FC">
        <w:rPr>
          <w:rFonts w:ascii="Arial" w:hAnsi="Arial" w:cs="Arial"/>
        </w:rPr>
        <w:t xml:space="preserve">sur l’eau (DCE) en police de l’eau IOTA/ICPE sera utilisé, plus particulièrement l’annexe 4. </w:t>
      </w:r>
    </w:p>
    <w:p w:rsidR="00576784" w:rsidRPr="00576784" w:rsidRDefault="00576784" w:rsidP="0051027B">
      <w:pPr>
        <w:spacing w:after="240" w:line="276" w:lineRule="auto"/>
        <w:jc w:val="both"/>
        <w:rPr>
          <w:rFonts w:ascii="Arial" w:hAnsi="Arial" w:cs="Arial"/>
        </w:rPr>
      </w:pPr>
      <w:r w:rsidRPr="00E43548">
        <w:rPr>
          <w:rFonts w:ascii="Arial" w:hAnsi="Arial" w:cs="Arial"/>
        </w:rPr>
        <w:t>Il est intéressant, afin d’évaluer la compatibilité des effluents avec le milieu naturel, de comparer les flux de polluants des deux affluents en amont du site (</w:t>
      </w:r>
      <w:r w:rsidR="00B12F45" w:rsidRPr="00E43548">
        <w:rPr>
          <w:rFonts w:ascii="Arial" w:hAnsi="Arial" w:cs="Arial"/>
        </w:rPr>
        <w:t xml:space="preserve">le Canal de </w:t>
      </w:r>
      <w:proofErr w:type="spellStart"/>
      <w:r w:rsidR="00B12F45" w:rsidRPr="00E43548">
        <w:rPr>
          <w:rFonts w:ascii="Arial" w:hAnsi="Arial" w:cs="Arial"/>
        </w:rPr>
        <w:t>Neuffossé</w:t>
      </w:r>
      <w:proofErr w:type="spellEnd"/>
      <w:r w:rsidR="00B12F45" w:rsidRPr="00E43548">
        <w:rPr>
          <w:rFonts w:ascii="Arial" w:hAnsi="Arial" w:cs="Arial"/>
        </w:rPr>
        <w:t xml:space="preserve"> en amont</w:t>
      </w:r>
      <w:r w:rsidR="00C84AE3" w:rsidRPr="00E43548">
        <w:rPr>
          <w:rFonts w:ascii="Arial" w:hAnsi="Arial" w:cs="Arial"/>
        </w:rPr>
        <w:t xml:space="preserve"> </w:t>
      </w:r>
      <w:r w:rsidRPr="00E43548">
        <w:rPr>
          <w:rFonts w:ascii="Arial" w:hAnsi="Arial" w:cs="Arial"/>
        </w:rPr>
        <w:t xml:space="preserve">et </w:t>
      </w:r>
      <w:r w:rsidR="00B12F45" w:rsidRPr="00E43548">
        <w:rPr>
          <w:rFonts w:ascii="Arial" w:hAnsi="Arial" w:cs="Arial"/>
        </w:rPr>
        <w:t>l’Aa rivière</w:t>
      </w:r>
      <w:r w:rsidR="008740FC" w:rsidRPr="00E43548">
        <w:rPr>
          <w:rFonts w:ascii="Arial" w:hAnsi="Arial" w:cs="Arial"/>
        </w:rPr>
        <w:t xml:space="preserve"> mais </w:t>
      </w:r>
      <w:r w:rsidR="00E43548">
        <w:rPr>
          <w:rFonts w:ascii="Arial" w:hAnsi="Arial" w:cs="Arial"/>
        </w:rPr>
        <w:t>seule</w:t>
      </w:r>
      <w:r w:rsidR="008740FC" w:rsidRPr="00E43548">
        <w:rPr>
          <w:rFonts w:ascii="Arial" w:hAnsi="Arial" w:cs="Arial"/>
        </w:rPr>
        <w:t xml:space="preserve"> </w:t>
      </w:r>
      <w:r w:rsidR="00B12F45" w:rsidRPr="00E43548">
        <w:rPr>
          <w:rFonts w:ascii="Arial" w:hAnsi="Arial" w:cs="Arial"/>
        </w:rPr>
        <w:t>l’Aa rivière</w:t>
      </w:r>
      <w:r w:rsidR="008740FC" w:rsidRPr="00E43548">
        <w:rPr>
          <w:rFonts w:ascii="Arial" w:hAnsi="Arial" w:cs="Arial"/>
        </w:rPr>
        <w:t xml:space="preserve"> dispose </w:t>
      </w:r>
      <w:r w:rsidR="00B12F45" w:rsidRPr="00E43548">
        <w:rPr>
          <w:rFonts w:ascii="Arial" w:hAnsi="Arial" w:cs="Arial"/>
        </w:rPr>
        <w:t xml:space="preserve">d’une station de surveillance à </w:t>
      </w:r>
      <w:proofErr w:type="spellStart"/>
      <w:r w:rsidR="00B12F45" w:rsidRPr="00E43548">
        <w:rPr>
          <w:rFonts w:ascii="Arial" w:hAnsi="Arial" w:cs="Arial"/>
        </w:rPr>
        <w:t>Wizernes</w:t>
      </w:r>
      <w:proofErr w:type="spellEnd"/>
      <w:r w:rsidR="00B12F45" w:rsidRPr="00E43548">
        <w:rPr>
          <w:rFonts w:ascii="Arial" w:hAnsi="Arial" w:cs="Arial"/>
        </w:rPr>
        <w:t xml:space="preserve"> ayant </w:t>
      </w:r>
      <w:r w:rsidR="008740FC" w:rsidRPr="00E43548">
        <w:rPr>
          <w:rFonts w:ascii="Arial" w:hAnsi="Arial" w:cs="Arial"/>
        </w:rPr>
        <w:t>de</w:t>
      </w:r>
      <w:r w:rsidR="00B12F45" w:rsidRPr="00E43548">
        <w:rPr>
          <w:rFonts w:ascii="Arial" w:hAnsi="Arial" w:cs="Arial"/>
        </w:rPr>
        <w:t>s</w:t>
      </w:r>
      <w:r w:rsidR="008740FC" w:rsidRPr="00E43548">
        <w:rPr>
          <w:rFonts w:ascii="Arial" w:hAnsi="Arial" w:cs="Arial"/>
        </w:rPr>
        <w:t xml:space="preserve"> résultats d’analyses pouvant être utilisés ici</w:t>
      </w:r>
      <w:r w:rsidR="00C84AE3" w:rsidRPr="00E43548">
        <w:rPr>
          <w:rFonts w:ascii="Arial" w:hAnsi="Arial" w:cs="Arial"/>
        </w:rPr>
        <w:t>)</w:t>
      </w:r>
      <w:r w:rsidR="00B12F45" w:rsidRPr="00E43548">
        <w:rPr>
          <w:rFonts w:ascii="Arial" w:hAnsi="Arial" w:cs="Arial"/>
        </w:rPr>
        <w:t xml:space="preserve"> à ceux en aval des rejets</w:t>
      </w:r>
      <w:r w:rsidRPr="00E43548">
        <w:rPr>
          <w:rFonts w:ascii="Arial" w:hAnsi="Arial" w:cs="Arial"/>
        </w:rPr>
        <w:t xml:space="preserve"> du site au niveau de la station de surveillance </w:t>
      </w:r>
      <w:r w:rsidR="00B12F45" w:rsidRPr="00E43548">
        <w:rPr>
          <w:rFonts w:ascii="Arial" w:hAnsi="Arial" w:cs="Arial"/>
        </w:rPr>
        <w:t xml:space="preserve">du Canal de </w:t>
      </w:r>
      <w:proofErr w:type="spellStart"/>
      <w:r w:rsidR="00B12F45" w:rsidRPr="00E43548">
        <w:rPr>
          <w:rFonts w:ascii="Arial" w:hAnsi="Arial" w:cs="Arial"/>
        </w:rPr>
        <w:t>Neuffossé</w:t>
      </w:r>
      <w:proofErr w:type="spellEnd"/>
      <w:r w:rsidR="00B12F45" w:rsidRPr="00E43548">
        <w:rPr>
          <w:rFonts w:ascii="Arial" w:hAnsi="Arial" w:cs="Arial"/>
        </w:rPr>
        <w:t xml:space="preserve"> à Arques.</w:t>
      </w:r>
      <w:r w:rsidRPr="00E43548">
        <w:rPr>
          <w:rFonts w:ascii="Arial" w:hAnsi="Arial" w:cs="Arial"/>
        </w:rPr>
        <w:t xml:space="preserve"> </w:t>
      </w:r>
      <w:r w:rsidR="00B12F45" w:rsidRPr="00E43548">
        <w:rPr>
          <w:rFonts w:ascii="Arial" w:hAnsi="Arial" w:cs="Arial"/>
        </w:rPr>
        <w:t>Il est donc impossible de vérifier les niveaux de rejets, nous nous contenterons d’étudier l’admissibilité des flux de polluants du site dans le Canal.</w:t>
      </w:r>
    </w:p>
    <w:p w:rsidR="00576784" w:rsidRPr="00576784" w:rsidRDefault="00576784" w:rsidP="00576784">
      <w:pPr>
        <w:rPr>
          <w:rFonts w:ascii="Arial" w:hAnsi="Arial" w:cs="Arial"/>
          <w:b/>
        </w:rPr>
      </w:pPr>
      <w:r w:rsidRPr="00576784">
        <w:rPr>
          <w:rFonts w:ascii="Arial" w:hAnsi="Arial" w:cs="Arial"/>
          <w:b/>
          <w:u w:val="single"/>
        </w:rPr>
        <w:t>Le flux maximal rejeté par le site est-il admissible par la masse d’eau</w:t>
      </w:r>
      <w:r w:rsidRPr="00576784">
        <w:rPr>
          <w:rFonts w:ascii="Arial" w:hAnsi="Arial" w:cs="Arial"/>
          <w:b/>
        </w:rPr>
        <w:t> ?</w:t>
      </w:r>
    </w:p>
    <w:p w:rsidR="00576784" w:rsidRPr="00576784" w:rsidRDefault="00576784" w:rsidP="00576784">
      <w:pPr>
        <w:jc w:val="center"/>
        <w:rPr>
          <w:rFonts w:ascii="Arial" w:hAnsi="Arial" w:cs="Arial"/>
        </w:rPr>
      </w:pPr>
      <w:r w:rsidRPr="00576784">
        <w:rPr>
          <w:rFonts w:ascii="Arial" w:hAnsi="Arial" w:cs="Arial"/>
          <w:b/>
          <w:i/>
        </w:rPr>
        <w:t>Flux maximal rejeté &lt; Flux admissible par la masse d’eau</w:t>
      </w:r>
      <w:r w:rsidRPr="00576784">
        <w:rPr>
          <w:rFonts w:ascii="Arial" w:hAnsi="Arial" w:cs="Arial"/>
        </w:rPr>
        <w:t xml:space="preserve"> </w:t>
      </w:r>
    </w:p>
    <w:p w:rsidR="00576784" w:rsidRPr="00576784" w:rsidRDefault="00576784" w:rsidP="00576784">
      <w:pPr>
        <w:jc w:val="both"/>
        <w:rPr>
          <w:rFonts w:ascii="Arial" w:hAnsi="Arial" w:cs="Arial"/>
        </w:rPr>
      </w:pPr>
      <w:r w:rsidRPr="00576784">
        <w:rPr>
          <w:rFonts w:ascii="Arial" w:hAnsi="Arial" w:cs="Arial"/>
        </w:rPr>
        <w:t xml:space="preserve">Avec :  </w:t>
      </w:r>
    </w:p>
    <w:p w:rsidR="00576784" w:rsidRPr="00576784" w:rsidRDefault="00576784" w:rsidP="00576784">
      <w:pPr>
        <w:pStyle w:val="Paragraphedeliste"/>
        <w:numPr>
          <w:ilvl w:val="0"/>
          <w:numId w:val="2"/>
        </w:numPr>
        <w:spacing w:after="120" w:line="240" w:lineRule="auto"/>
        <w:ind w:left="568" w:hanging="284"/>
        <w:jc w:val="both"/>
        <w:rPr>
          <w:rFonts w:ascii="Arial" w:hAnsi="Arial" w:cs="Arial"/>
          <w:b/>
          <w:sz w:val="24"/>
          <w:u w:val="single"/>
        </w:rPr>
      </w:pPr>
      <w:r w:rsidRPr="00576784">
        <w:rPr>
          <w:rFonts w:ascii="Arial" w:hAnsi="Arial" w:cs="Arial"/>
        </w:rPr>
        <w:t>Flux maximal rejeté = VLE (ou à défaut, concentration réelle de l’effluent) * débit maximal journalier autorisé du rejet</w:t>
      </w:r>
    </w:p>
    <w:p w:rsidR="00576784" w:rsidRPr="00576784" w:rsidRDefault="00576784" w:rsidP="00576784">
      <w:pPr>
        <w:pStyle w:val="Paragraphedeliste"/>
        <w:numPr>
          <w:ilvl w:val="0"/>
          <w:numId w:val="2"/>
        </w:numPr>
        <w:spacing w:after="0" w:line="240" w:lineRule="auto"/>
        <w:ind w:left="567" w:hanging="283"/>
        <w:jc w:val="both"/>
        <w:rPr>
          <w:rFonts w:ascii="Arial" w:hAnsi="Arial" w:cs="Arial"/>
          <w:b/>
          <w:sz w:val="24"/>
          <w:u w:val="single"/>
        </w:rPr>
      </w:pPr>
      <w:r w:rsidRPr="00576784">
        <w:rPr>
          <w:rFonts w:ascii="Arial" w:hAnsi="Arial" w:cs="Arial"/>
        </w:rPr>
        <w:t>Flux admissible = (QMNA5 + débit maximal du rejet) * NQE</w:t>
      </w:r>
    </w:p>
    <w:p w:rsidR="00576784" w:rsidRPr="00576784" w:rsidRDefault="00576784" w:rsidP="0051027B">
      <w:pPr>
        <w:spacing w:before="120" w:after="240"/>
        <w:jc w:val="both"/>
        <w:rPr>
          <w:rFonts w:ascii="Arial" w:hAnsi="Arial" w:cs="Arial"/>
          <w:i/>
        </w:rPr>
      </w:pPr>
      <w:r w:rsidRPr="008740FC">
        <w:rPr>
          <w:rFonts w:ascii="Arial" w:hAnsi="Arial" w:cs="Arial"/>
          <w:i/>
        </w:rPr>
        <w:t xml:space="preserve">Remarque : </w:t>
      </w:r>
      <w:r w:rsidR="008740FC" w:rsidRPr="008740FC">
        <w:rPr>
          <w:rFonts w:ascii="Arial" w:hAnsi="Arial" w:cs="Arial"/>
          <w:i/>
        </w:rPr>
        <w:t xml:space="preserve">Aucune valeur de QMNA5 n’est disponible pour les cours d’eau concernées. Sera donc pris en compte la valeur estimée du débit au niveau du canal de Mons à Saint </w:t>
      </w:r>
      <w:proofErr w:type="spellStart"/>
      <w:r w:rsidR="008740FC" w:rsidRPr="008740FC">
        <w:rPr>
          <w:rFonts w:ascii="Arial" w:hAnsi="Arial" w:cs="Arial"/>
          <w:i/>
        </w:rPr>
        <w:t>Aybert</w:t>
      </w:r>
      <w:proofErr w:type="spellEnd"/>
      <w:r w:rsidR="008740FC" w:rsidRPr="008740FC">
        <w:rPr>
          <w:rFonts w:ascii="Arial" w:hAnsi="Arial" w:cs="Arial"/>
          <w:i/>
        </w:rPr>
        <w:t>.</w:t>
      </w:r>
    </w:p>
    <w:p w:rsidR="00576784" w:rsidRDefault="00576784" w:rsidP="00576784">
      <w:pPr>
        <w:spacing w:before="120" w:after="240"/>
        <w:jc w:val="both"/>
        <w:rPr>
          <w:rFonts w:ascii="Arial" w:hAnsi="Arial" w:cs="Arial"/>
          <w:b/>
          <w:u w:val="single"/>
        </w:rPr>
      </w:pPr>
      <w:r w:rsidRPr="00576784">
        <w:rPr>
          <w:rFonts w:ascii="Arial" w:hAnsi="Arial" w:cs="Arial"/>
          <w:b/>
          <w:u w:val="single"/>
        </w:rPr>
        <w:t>Vérification des niveaux de rejet (VLE / Concentration proposée à l’avenir)</w:t>
      </w:r>
    </w:p>
    <w:p w:rsidR="000D6E57" w:rsidRDefault="000D6E57" w:rsidP="00576784">
      <w:pPr>
        <w:spacing w:before="120" w:after="240"/>
        <w:jc w:val="both"/>
        <w:rPr>
          <w:rFonts w:ascii="Arial" w:hAnsi="Arial" w:cs="Arial"/>
          <w:b/>
        </w:rPr>
      </w:pPr>
      <w:r w:rsidRPr="00B12F45">
        <w:rPr>
          <w:rFonts w:ascii="Arial" w:hAnsi="Arial" w:cs="Arial"/>
          <w:b/>
        </w:rPr>
        <w:t xml:space="preserve">Cette partie ne sera pas </w:t>
      </w:r>
      <w:r w:rsidR="00EF31B3" w:rsidRPr="00B12F45">
        <w:rPr>
          <w:rFonts w:ascii="Arial" w:hAnsi="Arial" w:cs="Arial"/>
          <w:b/>
        </w:rPr>
        <w:t>réalisée</w:t>
      </w:r>
      <w:r w:rsidRPr="00B12F45">
        <w:rPr>
          <w:rFonts w:ascii="Arial" w:hAnsi="Arial" w:cs="Arial"/>
          <w:b/>
        </w:rPr>
        <w:t xml:space="preserve"> par manque d’informations sur la qualité de l’eau en amont du site. En effet, il n’y a pas de stations de surveillance </w:t>
      </w:r>
      <w:r w:rsidR="00EF31B3" w:rsidRPr="00B12F45">
        <w:rPr>
          <w:rFonts w:ascii="Arial" w:hAnsi="Arial" w:cs="Arial"/>
          <w:b/>
        </w:rPr>
        <w:t xml:space="preserve">en amont du site sur le canal de </w:t>
      </w:r>
      <w:proofErr w:type="spellStart"/>
      <w:r w:rsidR="00EF31B3" w:rsidRPr="00B12F45">
        <w:rPr>
          <w:rFonts w:ascii="Arial" w:hAnsi="Arial" w:cs="Arial"/>
          <w:b/>
        </w:rPr>
        <w:t>Neuf</w:t>
      </w:r>
      <w:r w:rsidR="00B12F45" w:rsidRPr="00B12F45">
        <w:rPr>
          <w:rFonts w:ascii="Arial" w:hAnsi="Arial" w:cs="Arial"/>
          <w:b/>
        </w:rPr>
        <w:t>f</w:t>
      </w:r>
      <w:r w:rsidR="00EF31B3" w:rsidRPr="00B12F45">
        <w:rPr>
          <w:rFonts w:ascii="Arial" w:hAnsi="Arial" w:cs="Arial"/>
          <w:b/>
        </w:rPr>
        <w:t>ossé</w:t>
      </w:r>
      <w:proofErr w:type="spellEnd"/>
      <w:r w:rsidR="00EF31B3" w:rsidRPr="00B12F45">
        <w:rPr>
          <w:rFonts w:ascii="Arial" w:hAnsi="Arial" w:cs="Arial"/>
          <w:b/>
        </w:rPr>
        <w:t xml:space="preserve"> assez proche p</w:t>
      </w:r>
      <w:r w:rsidR="00B12F45" w:rsidRPr="00B12F45">
        <w:rPr>
          <w:rFonts w:ascii="Arial" w:hAnsi="Arial" w:cs="Arial"/>
          <w:b/>
        </w:rPr>
        <w:t>o</w:t>
      </w:r>
      <w:r w:rsidR="00EF31B3" w:rsidRPr="00B12F45">
        <w:rPr>
          <w:rFonts w:ascii="Arial" w:hAnsi="Arial" w:cs="Arial"/>
          <w:b/>
        </w:rPr>
        <w:t xml:space="preserve">ur que les résultats soient </w:t>
      </w:r>
      <w:r w:rsidR="004018B8">
        <w:rPr>
          <w:rFonts w:ascii="Arial" w:hAnsi="Arial" w:cs="Arial"/>
          <w:b/>
        </w:rPr>
        <w:t>représentatifs</w:t>
      </w:r>
      <w:r w:rsidR="00EF31B3" w:rsidRPr="00B12F45">
        <w:rPr>
          <w:rFonts w:ascii="Arial" w:hAnsi="Arial" w:cs="Arial"/>
          <w:b/>
        </w:rPr>
        <w:t>.</w:t>
      </w:r>
      <w:r w:rsidR="00B12F45" w:rsidRPr="00B12F45">
        <w:rPr>
          <w:rFonts w:ascii="Arial" w:hAnsi="Arial" w:cs="Arial"/>
          <w:b/>
        </w:rPr>
        <w:t xml:space="preserve"> En effet, les résultats seraient faussés par la présence d’autres industries et parcelles agricoles contribuant </w:t>
      </w:r>
      <w:r w:rsidR="004018B8">
        <w:rPr>
          <w:rFonts w:ascii="Arial" w:hAnsi="Arial" w:cs="Arial"/>
          <w:b/>
        </w:rPr>
        <w:t xml:space="preserve">également </w:t>
      </w:r>
      <w:r w:rsidR="00B12F45" w:rsidRPr="00B12F45">
        <w:rPr>
          <w:rFonts w:ascii="Arial" w:hAnsi="Arial" w:cs="Arial"/>
          <w:b/>
        </w:rPr>
        <w:t>à la qualité de l’eau du canal</w:t>
      </w:r>
      <w:r w:rsidR="00E43548">
        <w:rPr>
          <w:rFonts w:ascii="Arial" w:hAnsi="Arial" w:cs="Arial"/>
          <w:b/>
        </w:rPr>
        <w:t>.</w:t>
      </w:r>
    </w:p>
    <w:p w:rsidR="00E43548" w:rsidRPr="00E43548" w:rsidRDefault="00E43548" w:rsidP="00576784">
      <w:pPr>
        <w:spacing w:before="120" w:after="240"/>
        <w:jc w:val="both"/>
        <w:rPr>
          <w:rFonts w:ascii="Arial" w:hAnsi="Arial" w:cs="Arial"/>
        </w:rPr>
      </w:pPr>
      <w:r w:rsidRPr="00E43548">
        <w:rPr>
          <w:rFonts w:ascii="Arial" w:hAnsi="Arial" w:cs="Arial"/>
        </w:rPr>
        <w:t>La méthodologie suivante est donnée po</w:t>
      </w:r>
      <w:r>
        <w:rPr>
          <w:rFonts w:ascii="Arial" w:hAnsi="Arial" w:cs="Arial"/>
        </w:rPr>
        <w:t>ur information :</w:t>
      </w:r>
    </w:p>
    <w:p w:rsidR="00576784" w:rsidRPr="00E43548" w:rsidRDefault="00576784" w:rsidP="00576784">
      <w:pPr>
        <w:pStyle w:val="Paragraphedeliste"/>
        <w:numPr>
          <w:ilvl w:val="0"/>
          <w:numId w:val="3"/>
        </w:numPr>
        <w:spacing w:before="120" w:after="0" w:line="240" w:lineRule="auto"/>
        <w:jc w:val="both"/>
        <w:rPr>
          <w:rFonts w:ascii="Arial" w:hAnsi="Arial" w:cs="Arial"/>
          <w:i/>
        </w:rPr>
      </w:pPr>
      <w:r w:rsidRPr="00E43548">
        <w:rPr>
          <w:rFonts w:ascii="Arial" w:hAnsi="Arial" w:cs="Arial"/>
          <w:i/>
        </w:rPr>
        <w:t>Calcul de la concentration dans le milieu après rejet :</w:t>
      </w:r>
    </w:p>
    <w:p w:rsidR="00576784" w:rsidRPr="00E43548" w:rsidRDefault="00576784" w:rsidP="00576784">
      <w:pPr>
        <w:spacing w:before="120"/>
        <w:jc w:val="both"/>
        <w:rPr>
          <w:rFonts w:ascii="Arial" w:hAnsi="Arial" w:cs="Arial"/>
          <w:i/>
        </w:rPr>
      </w:pPr>
      <w:proofErr w:type="spellStart"/>
      <w:r w:rsidRPr="00E43548">
        <w:rPr>
          <w:rFonts w:ascii="Arial" w:hAnsi="Arial" w:cs="Arial"/>
          <w:i/>
        </w:rPr>
        <w:t>Camont</w:t>
      </w:r>
      <w:proofErr w:type="spellEnd"/>
      <w:r w:rsidRPr="00E43548">
        <w:rPr>
          <w:rFonts w:ascii="Arial" w:hAnsi="Arial" w:cs="Arial"/>
          <w:i/>
        </w:rPr>
        <w:t> : Concentration mesurée (en période d’étiage si possible) ou à défaut estimée en amont du rejet</w:t>
      </w:r>
    </w:p>
    <w:p w:rsidR="00576784" w:rsidRPr="00E43548" w:rsidRDefault="00576784" w:rsidP="00576784">
      <w:pPr>
        <w:spacing w:before="120"/>
        <w:jc w:val="both"/>
        <w:rPr>
          <w:rFonts w:ascii="Arial" w:hAnsi="Arial" w:cs="Arial"/>
          <w:i/>
        </w:rPr>
      </w:pPr>
      <w:proofErr w:type="spellStart"/>
      <w:r w:rsidRPr="00E43548">
        <w:rPr>
          <w:rFonts w:ascii="Arial" w:hAnsi="Arial" w:cs="Arial"/>
          <w:i/>
        </w:rPr>
        <w:t>Qamont</w:t>
      </w:r>
      <w:proofErr w:type="spellEnd"/>
      <w:r w:rsidRPr="00E43548">
        <w:rPr>
          <w:rFonts w:ascii="Arial" w:hAnsi="Arial" w:cs="Arial"/>
          <w:i/>
        </w:rPr>
        <w:t xml:space="preserve"> (Débit à l’amont immédiat du rejet) : débit d’étiage quinquennal sec QMNA5 et module </w:t>
      </w:r>
      <w:proofErr w:type="spellStart"/>
      <w:r w:rsidRPr="00E43548">
        <w:rPr>
          <w:rFonts w:ascii="Arial" w:hAnsi="Arial" w:cs="Arial"/>
          <w:i/>
        </w:rPr>
        <w:t>internannuel</w:t>
      </w:r>
      <w:proofErr w:type="spellEnd"/>
      <w:r w:rsidRPr="00E43548">
        <w:rPr>
          <w:rFonts w:ascii="Arial" w:hAnsi="Arial" w:cs="Arial"/>
          <w:i/>
        </w:rPr>
        <w:t>, en l’absence d’activité anthropique.</w:t>
      </w:r>
    </w:p>
    <w:p w:rsidR="00576784" w:rsidRPr="00E43548" w:rsidRDefault="00576784" w:rsidP="00576784">
      <w:pPr>
        <w:spacing w:before="120"/>
        <w:jc w:val="both"/>
        <w:rPr>
          <w:rFonts w:ascii="Arial" w:hAnsi="Arial" w:cs="Arial"/>
          <w:i/>
        </w:rPr>
      </w:pPr>
      <w:proofErr w:type="spellStart"/>
      <w:r w:rsidRPr="00E43548">
        <w:rPr>
          <w:rFonts w:ascii="Arial" w:hAnsi="Arial" w:cs="Arial"/>
          <w:i/>
        </w:rPr>
        <w:t>Ccontributeur</w:t>
      </w:r>
      <w:proofErr w:type="spellEnd"/>
      <w:r w:rsidRPr="00E43548">
        <w:rPr>
          <w:rFonts w:ascii="Arial" w:hAnsi="Arial" w:cs="Arial"/>
          <w:i/>
        </w:rPr>
        <w:t> : Concentration du rejet de l’ICPE (concentration max autorisée et concentration moyenne mensuelle fixée par l’AP ou concentration moyenne mensuelle annoncée par l’industriel en tenant compte des MTD).</w:t>
      </w:r>
    </w:p>
    <w:p w:rsidR="00576784" w:rsidRPr="00E43548" w:rsidRDefault="00576784" w:rsidP="00576784">
      <w:pPr>
        <w:spacing w:before="120"/>
        <w:jc w:val="both"/>
        <w:rPr>
          <w:rFonts w:ascii="Arial" w:hAnsi="Arial" w:cs="Arial"/>
          <w:i/>
        </w:rPr>
      </w:pPr>
      <w:proofErr w:type="spellStart"/>
      <w:r w:rsidRPr="00E43548">
        <w:rPr>
          <w:rFonts w:ascii="Arial" w:hAnsi="Arial" w:cs="Arial"/>
          <w:i/>
        </w:rPr>
        <w:lastRenderedPageBreak/>
        <w:t>Qcontributeur</w:t>
      </w:r>
      <w:proofErr w:type="spellEnd"/>
      <w:r w:rsidRPr="00E43548">
        <w:rPr>
          <w:rFonts w:ascii="Arial" w:hAnsi="Arial" w:cs="Arial"/>
          <w:i/>
        </w:rPr>
        <w:t> : débit max et débit moyen journalier fixé par l’AP ou débit moyen annoncé par l’industriel en tenant compte des MTD).</w:t>
      </w:r>
    </w:p>
    <w:p w:rsidR="00576784" w:rsidRPr="00E43548" w:rsidRDefault="00576784" w:rsidP="00576784">
      <w:pPr>
        <w:spacing w:before="120"/>
        <w:jc w:val="both"/>
        <w:rPr>
          <w:rFonts w:ascii="Arial" w:hAnsi="Arial" w:cs="Arial"/>
          <w:i/>
        </w:rPr>
      </w:pPr>
      <w:proofErr w:type="spellStart"/>
      <w:r w:rsidRPr="00E43548">
        <w:rPr>
          <w:rFonts w:ascii="Arial" w:hAnsi="Arial" w:cs="Arial"/>
          <w:i/>
        </w:rPr>
        <w:t>Caval</w:t>
      </w:r>
      <w:proofErr w:type="spellEnd"/>
      <w:r w:rsidRPr="00E43548">
        <w:rPr>
          <w:rFonts w:ascii="Arial" w:hAnsi="Arial" w:cs="Arial"/>
          <w:i/>
        </w:rPr>
        <w:t> : Concentration calculée en aval du rejet</w:t>
      </w:r>
    </w:p>
    <w:p w:rsidR="00576784" w:rsidRPr="00E43548" w:rsidRDefault="00576784" w:rsidP="00576784">
      <w:pPr>
        <w:spacing w:before="120"/>
        <w:jc w:val="both"/>
        <w:rPr>
          <w:rFonts w:ascii="Arial" w:hAnsi="Arial" w:cs="Arial"/>
          <w:i/>
        </w:rPr>
      </w:pPr>
      <w:proofErr w:type="spellStart"/>
      <w:r w:rsidRPr="00E43548">
        <w:rPr>
          <w:rFonts w:ascii="Arial" w:hAnsi="Arial" w:cs="Arial"/>
          <w:i/>
        </w:rPr>
        <w:t>Qaval</w:t>
      </w:r>
      <w:proofErr w:type="spellEnd"/>
      <w:r w:rsidRPr="00E43548">
        <w:rPr>
          <w:rFonts w:ascii="Arial" w:hAnsi="Arial" w:cs="Arial"/>
          <w:i/>
        </w:rPr>
        <w:t> : débit en aval immédiat du rejet : somme des débits amont industriel et collectivité.</w:t>
      </w:r>
    </w:p>
    <w:p w:rsidR="006D6759" w:rsidRPr="00E43548" w:rsidRDefault="006D6759" w:rsidP="006D6759">
      <w:pPr>
        <w:spacing w:before="120"/>
        <w:jc w:val="both"/>
        <w:rPr>
          <w:rFonts w:ascii="Arial" w:hAnsi="Arial" w:cs="Arial"/>
          <w:i/>
        </w:rPr>
      </w:pPr>
      <w:r w:rsidRPr="00E43548">
        <w:rPr>
          <w:rFonts w:ascii="Arial" w:hAnsi="Arial" w:cs="Arial"/>
          <w:i/>
        </w:rPr>
        <w:t xml:space="preserve">Dans le cas présent, avec les deux flux amont cela donne la formule suivante : </w:t>
      </w:r>
    </w:p>
    <w:p w:rsidR="006D6759" w:rsidRPr="00E43548" w:rsidRDefault="00576784" w:rsidP="00576784">
      <w:pPr>
        <w:spacing w:before="120"/>
        <w:jc w:val="center"/>
        <w:rPr>
          <w:rFonts w:ascii="Arial" w:hAnsi="Arial" w:cs="Arial"/>
          <w:b/>
          <w:i/>
        </w:rPr>
      </w:pPr>
      <w:proofErr w:type="spellStart"/>
      <w:r w:rsidRPr="00E43548">
        <w:rPr>
          <w:rFonts w:ascii="Arial" w:hAnsi="Arial" w:cs="Arial"/>
          <w:b/>
          <w:i/>
        </w:rPr>
        <w:t>Caval</w:t>
      </w:r>
      <w:proofErr w:type="spellEnd"/>
      <w:r w:rsidRPr="00E43548">
        <w:rPr>
          <w:rFonts w:ascii="Arial" w:hAnsi="Arial" w:cs="Arial"/>
          <w:b/>
          <w:i/>
        </w:rPr>
        <w:t xml:space="preserve"> = Camont</w:t>
      </w:r>
      <w:r w:rsidR="006D6759" w:rsidRPr="00E43548">
        <w:rPr>
          <w:rFonts w:ascii="Arial" w:hAnsi="Arial" w:cs="Arial"/>
          <w:b/>
          <w:i/>
          <w:vertAlign w:val="subscript"/>
        </w:rPr>
        <w:t>1</w:t>
      </w:r>
      <w:r w:rsidRPr="00E43548">
        <w:rPr>
          <w:rFonts w:ascii="Arial" w:hAnsi="Arial" w:cs="Arial"/>
          <w:b/>
          <w:i/>
        </w:rPr>
        <w:t xml:space="preserve"> * Qamont</w:t>
      </w:r>
      <w:r w:rsidR="006D6759" w:rsidRPr="00E43548">
        <w:rPr>
          <w:rFonts w:ascii="Arial" w:hAnsi="Arial" w:cs="Arial"/>
          <w:b/>
          <w:i/>
          <w:vertAlign w:val="subscript"/>
        </w:rPr>
        <w:t>1</w:t>
      </w:r>
      <w:r w:rsidRPr="00E43548">
        <w:rPr>
          <w:rFonts w:ascii="Arial" w:hAnsi="Arial" w:cs="Arial"/>
          <w:b/>
          <w:i/>
        </w:rPr>
        <w:t>/</w:t>
      </w:r>
      <w:proofErr w:type="spellStart"/>
      <w:r w:rsidRPr="00E43548">
        <w:rPr>
          <w:rFonts w:ascii="Arial" w:hAnsi="Arial" w:cs="Arial"/>
          <w:b/>
          <w:i/>
        </w:rPr>
        <w:t>Qaval</w:t>
      </w:r>
      <w:proofErr w:type="spellEnd"/>
      <w:r w:rsidRPr="00E43548">
        <w:rPr>
          <w:rFonts w:ascii="Arial" w:hAnsi="Arial" w:cs="Arial"/>
          <w:b/>
          <w:i/>
        </w:rPr>
        <w:t xml:space="preserve"> + </w:t>
      </w:r>
      <w:r w:rsidR="006D6759" w:rsidRPr="00E43548">
        <w:rPr>
          <w:rFonts w:ascii="Arial" w:hAnsi="Arial" w:cs="Arial"/>
          <w:b/>
          <w:i/>
        </w:rPr>
        <w:t>Camont</w:t>
      </w:r>
      <w:r w:rsidR="006D6759" w:rsidRPr="00E43548">
        <w:rPr>
          <w:rFonts w:ascii="Arial" w:hAnsi="Arial" w:cs="Arial"/>
          <w:b/>
          <w:i/>
          <w:vertAlign w:val="subscript"/>
        </w:rPr>
        <w:t>2</w:t>
      </w:r>
      <w:r w:rsidR="006D6759" w:rsidRPr="00E43548">
        <w:rPr>
          <w:rFonts w:ascii="Arial" w:hAnsi="Arial" w:cs="Arial"/>
          <w:b/>
          <w:i/>
        </w:rPr>
        <w:t xml:space="preserve"> * Qamont</w:t>
      </w:r>
      <w:r w:rsidR="006D6759" w:rsidRPr="00E43548">
        <w:rPr>
          <w:rFonts w:ascii="Arial" w:hAnsi="Arial" w:cs="Arial"/>
          <w:b/>
          <w:i/>
          <w:vertAlign w:val="subscript"/>
        </w:rPr>
        <w:t>2</w:t>
      </w:r>
      <w:r w:rsidR="006D6759" w:rsidRPr="00E43548">
        <w:rPr>
          <w:rFonts w:ascii="Arial" w:hAnsi="Arial" w:cs="Arial"/>
          <w:b/>
          <w:i/>
        </w:rPr>
        <w:t>/</w:t>
      </w:r>
      <w:proofErr w:type="spellStart"/>
      <w:r w:rsidR="006D6759" w:rsidRPr="00E43548">
        <w:rPr>
          <w:rFonts w:ascii="Arial" w:hAnsi="Arial" w:cs="Arial"/>
          <w:b/>
          <w:i/>
        </w:rPr>
        <w:t>Qaval</w:t>
      </w:r>
      <w:proofErr w:type="spellEnd"/>
      <w:r w:rsidR="006D6759" w:rsidRPr="00E43548">
        <w:rPr>
          <w:rFonts w:ascii="Arial" w:hAnsi="Arial" w:cs="Arial"/>
          <w:b/>
          <w:i/>
        </w:rPr>
        <w:t xml:space="preserve"> + </w:t>
      </w:r>
    </w:p>
    <w:p w:rsidR="00576784" w:rsidRPr="00E43548" w:rsidRDefault="00576784" w:rsidP="00576784">
      <w:pPr>
        <w:spacing w:before="120"/>
        <w:jc w:val="center"/>
        <w:rPr>
          <w:rFonts w:ascii="Arial" w:hAnsi="Arial" w:cs="Arial"/>
          <w:b/>
          <w:i/>
        </w:rPr>
      </w:pPr>
      <w:proofErr w:type="spellStart"/>
      <w:r w:rsidRPr="00E43548">
        <w:rPr>
          <w:rFonts w:ascii="Arial" w:hAnsi="Arial" w:cs="Arial"/>
          <w:b/>
          <w:i/>
        </w:rPr>
        <w:t>Ccontributeur</w:t>
      </w:r>
      <w:proofErr w:type="spellEnd"/>
      <w:r w:rsidRPr="00E43548">
        <w:rPr>
          <w:rFonts w:ascii="Arial" w:hAnsi="Arial" w:cs="Arial"/>
          <w:b/>
          <w:i/>
        </w:rPr>
        <w:t xml:space="preserve"> * </w:t>
      </w:r>
      <w:proofErr w:type="spellStart"/>
      <w:r w:rsidRPr="00E43548">
        <w:rPr>
          <w:rFonts w:ascii="Arial" w:hAnsi="Arial" w:cs="Arial"/>
          <w:b/>
          <w:i/>
        </w:rPr>
        <w:t>Qcontributeur</w:t>
      </w:r>
      <w:proofErr w:type="spellEnd"/>
      <w:r w:rsidRPr="00E43548">
        <w:rPr>
          <w:rFonts w:ascii="Arial" w:hAnsi="Arial" w:cs="Arial"/>
          <w:b/>
          <w:i/>
        </w:rPr>
        <w:t>/</w:t>
      </w:r>
      <w:proofErr w:type="spellStart"/>
      <w:r w:rsidRPr="00E43548">
        <w:rPr>
          <w:rFonts w:ascii="Arial" w:hAnsi="Arial" w:cs="Arial"/>
          <w:b/>
          <w:i/>
        </w:rPr>
        <w:t>Qaval</w:t>
      </w:r>
      <w:proofErr w:type="spellEnd"/>
    </w:p>
    <w:p w:rsidR="00576784" w:rsidRPr="00E43548" w:rsidRDefault="00576784" w:rsidP="00576784">
      <w:pPr>
        <w:spacing w:before="120"/>
        <w:jc w:val="center"/>
        <w:rPr>
          <w:rFonts w:ascii="Arial" w:hAnsi="Arial" w:cs="Arial"/>
          <w:b/>
          <w:i/>
        </w:rPr>
      </w:pPr>
    </w:p>
    <w:p w:rsidR="00576784" w:rsidRPr="00E43548" w:rsidRDefault="00576784" w:rsidP="00576784">
      <w:pPr>
        <w:pStyle w:val="Paragraphedeliste"/>
        <w:numPr>
          <w:ilvl w:val="0"/>
          <w:numId w:val="3"/>
        </w:numPr>
        <w:spacing w:after="120" w:line="240" w:lineRule="auto"/>
        <w:ind w:left="714" w:hanging="357"/>
        <w:rPr>
          <w:rFonts w:ascii="Arial" w:hAnsi="Arial" w:cs="Arial"/>
          <w:i/>
        </w:rPr>
      </w:pPr>
      <w:r w:rsidRPr="00E43548">
        <w:rPr>
          <w:rFonts w:ascii="Arial" w:hAnsi="Arial" w:cs="Arial"/>
          <w:i/>
        </w:rPr>
        <w:t>Evaluation de l’impact du rejet sur le milieu récepteur :</w:t>
      </w:r>
    </w:p>
    <w:p w:rsidR="00576784" w:rsidRPr="00E43548" w:rsidRDefault="00576784" w:rsidP="00576784">
      <w:pPr>
        <w:jc w:val="both"/>
        <w:rPr>
          <w:rFonts w:ascii="Arial" w:hAnsi="Arial" w:cs="Arial"/>
          <w:i/>
        </w:rPr>
      </w:pPr>
      <w:r w:rsidRPr="00E43548">
        <w:rPr>
          <w:rFonts w:ascii="Arial" w:hAnsi="Arial" w:cs="Arial"/>
          <w:i/>
        </w:rPr>
        <w:t xml:space="preserve">Le guide technique relatif  aux modalités de prise en compte des objectifs de la directive cadre sur l’eau (DCE) en police de l’eau IOTA/ICPE propose de calculer un impact moyenné en l’absence d’une valeur de QMNA5. Les concentrations en aval calculées seront donc comparées aux valeurs de NQE. Les rejets pourront être considérés comme acceptable </w:t>
      </w:r>
      <w:r w:rsidRPr="00E43548">
        <w:rPr>
          <w:rFonts w:ascii="Arial" w:hAnsi="Arial" w:cs="Arial"/>
          <w:b/>
          <w:i/>
        </w:rPr>
        <w:t xml:space="preserve">si le rapport </w:t>
      </w:r>
      <w:proofErr w:type="spellStart"/>
      <w:r w:rsidRPr="00E43548">
        <w:rPr>
          <w:rFonts w:ascii="Arial" w:hAnsi="Arial" w:cs="Arial"/>
          <w:b/>
          <w:i/>
        </w:rPr>
        <w:t>C</w:t>
      </w:r>
      <w:r w:rsidRPr="00E43548">
        <w:rPr>
          <w:rFonts w:ascii="Arial" w:hAnsi="Arial" w:cs="Arial"/>
          <w:b/>
          <w:i/>
          <w:vertAlign w:val="subscript"/>
        </w:rPr>
        <w:t>aval</w:t>
      </w:r>
      <w:proofErr w:type="spellEnd"/>
      <w:r w:rsidRPr="00E43548">
        <w:rPr>
          <w:rFonts w:ascii="Arial" w:hAnsi="Arial" w:cs="Arial"/>
          <w:b/>
          <w:i/>
        </w:rPr>
        <w:t>/NQE est inférieur ou égal à 0,8</w:t>
      </w:r>
    </w:p>
    <w:p w:rsidR="000D6E57" w:rsidRDefault="000D6E57" w:rsidP="000D6E57">
      <w:pPr>
        <w:pStyle w:val="Titre2"/>
        <w:numPr>
          <w:ilvl w:val="0"/>
          <w:numId w:val="0"/>
        </w:numPr>
        <w:ind w:left="720"/>
      </w:pPr>
    </w:p>
    <w:p w:rsidR="000D6E57" w:rsidRPr="000D6E57" w:rsidRDefault="000D6E57" w:rsidP="000D6E57">
      <w:pPr>
        <w:sectPr w:rsidR="000D6E57" w:rsidRPr="000D6E57" w:rsidSect="00DC6706">
          <w:footerReference w:type="default" r:id="rId11"/>
          <w:pgSz w:w="11906" w:h="16838"/>
          <w:pgMar w:top="1417" w:right="1417" w:bottom="1417" w:left="1417" w:header="708" w:footer="708" w:gutter="0"/>
          <w:cols w:space="708"/>
          <w:docGrid w:linePitch="360"/>
        </w:sectPr>
      </w:pPr>
    </w:p>
    <w:p w:rsidR="00576784" w:rsidRDefault="00576784" w:rsidP="00C87116">
      <w:pPr>
        <w:pStyle w:val="Titre2"/>
        <w:ind w:left="426" w:hanging="426"/>
      </w:pPr>
      <w:r>
        <w:lastRenderedPageBreak/>
        <w:t xml:space="preserve">Résultats </w:t>
      </w:r>
    </w:p>
    <w:tbl>
      <w:tblPr>
        <w:tblStyle w:val="Grilledutableau"/>
        <w:tblW w:w="3233" w:type="pct"/>
        <w:tblLook w:val="04A0"/>
      </w:tblPr>
      <w:tblGrid>
        <w:gridCol w:w="671"/>
        <w:gridCol w:w="3034"/>
        <w:gridCol w:w="515"/>
        <w:gridCol w:w="2128"/>
        <w:gridCol w:w="2847"/>
      </w:tblGrid>
      <w:tr w:rsidR="004018B8" w:rsidTr="004018B8">
        <w:trPr>
          <w:trHeight w:val="531"/>
        </w:trPr>
        <w:tc>
          <w:tcPr>
            <w:tcW w:w="365" w:type="pct"/>
            <w:tcBorders>
              <w:top w:val="nil"/>
              <w:left w:val="nil"/>
              <w:bottom w:val="single" w:sz="4" w:space="0" w:color="auto"/>
              <w:right w:val="single" w:sz="4" w:space="0" w:color="auto"/>
            </w:tcBorders>
          </w:tcPr>
          <w:p w:rsidR="004018B8" w:rsidRDefault="004018B8">
            <w:pPr>
              <w:pStyle w:val="Style1"/>
              <w:numPr>
                <w:ilvl w:val="0"/>
                <w:numId w:val="0"/>
              </w:numPr>
              <w:jc w:val="center"/>
              <w:textAlignment w:val="baseline"/>
              <w:rPr>
                <w:sz w:val="22"/>
              </w:rPr>
            </w:pPr>
          </w:p>
        </w:tc>
        <w:tc>
          <w:tcPr>
            <w:tcW w:w="1650" w:type="pct"/>
            <w:tcBorders>
              <w:top w:val="single" w:sz="4" w:space="0" w:color="auto"/>
              <w:left w:val="single" w:sz="4" w:space="0" w:color="auto"/>
              <w:bottom w:val="single" w:sz="4" w:space="0" w:color="auto"/>
              <w:right w:val="single" w:sz="4" w:space="0" w:color="auto"/>
            </w:tcBorders>
            <w:shd w:val="clear" w:color="auto" w:fill="00B050"/>
            <w:hideMark/>
          </w:tcPr>
          <w:p w:rsidR="004018B8" w:rsidRPr="00AD06CE" w:rsidRDefault="004018B8">
            <w:pPr>
              <w:pStyle w:val="Style1"/>
              <w:numPr>
                <w:ilvl w:val="0"/>
                <w:numId w:val="0"/>
              </w:numPr>
              <w:jc w:val="center"/>
              <w:textAlignment w:val="baseline"/>
              <w:rPr>
                <w:color w:val="FFFFFF" w:themeColor="background1"/>
                <w:sz w:val="20"/>
              </w:rPr>
            </w:pPr>
            <w:r w:rsidRPr="00AD06CE">
              <w:rPr>
                <w:color w:val="FFFFFF" w:themeColor="background1"/>
                <w:sz w:val="20"/>
              </w:rPr>
              <w:t>Débit max journalier du site</w:t>
            </w:r>
          </w:p>
          <w:p w:rsidR="004018B8" w:rsidRPr="00AD06CE" w:rsidRDefault="004018B8">
            <w:pPr>
              <w:pStyle w:val="Style1"/>
              <w:numPr>
                <w:ilvl w:val="0"/>
                <w:numId w:val="0"/>
              </w:numPr>
              <w:jc w:val="center"/>
              <w:textAlignment w:val="baseline"/>
              <w:rPr>
                <w:color w:val="FFFFFF" w:themeColor="background1"/>
                <w:sz w:val="22"/>
                <w:highlight w:val="yellow"/>
              </w:rPr>
            </w:pPr>
            <w:r w:rsidRPr="00AD06CE">
              <w:rPr>
                <w:color w:val="FFFFFF" w:themeColor="background1"/>
                <w:sz w:val="20"/>
              </w:rPr>
              <w:t>(</w:t>
            </w:r>
            <w:proofErr w:type="spellStart"/>
            <w:r w:rsidRPr="00AD06CE">
              <w:rPr>
                <w:color w:val="FFFFFF" w:themeColor="background1"/>
                <w:sz w:val="20"/>
              </w:rPr>
              <w:t>Q</w:t>
            </w:r>
            <w:r w:rsidRPr="00AD06CE">
              <w:rPr>
                <w:color w:val="FFFFFF" w:themeColor="background1"/>
                <w:sz w:val="20"/>
                <w:vertAlign w:val="subscript"/>
              </w:rPr>
              <w:t>contributeur</w:t>
            </w:r>
            <w:proofErr w:type="spellEnd"/>
            <w:r w:rsidRPr="00AD06CE">
              <w:rPr>
                <w:color w:val="FFFFFF" w:themeColor="background1"/>
                <w:sz w:val="20"/>
              </w:rPr>
              <w:t>)</w:t>
            </w:r>
          </w:p>
        </w:tc>
        <w:tc>
          <w:tcPr>
            <w:tcW w:w="280" w:type="pct"/>
            <w:tcBorders>
              <w:top w:val="nil"/>
              <w:left w:val="single" w:sz="4" w:space="0" w:color="auto"/>
              <w:bottom w:val="nil"/>
              <w:right w:val="nil"/>
            </w:tcBorders>
          </w:tcPr>
          <w:p w:rsidR="004018B8" w:rsidRDefault="004018B8">
            <w:pPr>
              <w:pStyle w:val="Style1"/>
              <w:numPr>
                <w:ilvl w:val="0"/>
                <w:numId w:val="0"/>
              </w:numPr>
              <w:textAlignment w:val="baseline"/>
              <w:rPr>
                <w:sz w:val="22"/>
              </w:rPr>
            </w:pPr>
          </w:p>
        </w:tc>
        <w:tc>
          <w:tcPr>
            <w:tcW w:w="1157" w:type="pct"/>
            <w:tcBorders>
              <w:top w:val="nil"/>
              <w:left w:val="nil"/>
              <w:bottom w:val="single" w:sz="4" w:space="0" w:color="auto"/>
              <w:right w:val="single" w:sz="4" w:space="0" w:color="auto"/>
            </w:tcBorders>
          </w:tcPr>
          <w:p w:rsidR="004018B8" w:rsidRDefault="004018B8">
            <w:pPr>
              <w:pStyle w:val="Style1"/>
              <w:numPr>
                <w:ilvl w:val="0"/>
                <w:numId w:val="0"/>
              </w:numPr>
              <w:textAlignment w:val="baseline"/>
              <w:rPr>
                <w:sz w:val="22"/>
              </w:rPr>
            </w:pPr>
          </w:p>
        </w:tc>
        <w:tc>
          <w:tcPr>
            <w:tcW w:w="154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018B8" w:rsidRPr="00AF0B75" w:rsidRDefault="004018B8" w:rsidP="004018B8">
            <w:pPr>
              <w:jc w:val="center"/>
              <w:textAlignment w:val="baseline"/>
              <w:rPr>
                <w:rFonts w:ascii="Arial" w:hAnsi="Arial" w:cs="Arial"/>
                <w:b/>
                <w:color w:val="FFFFFF" w:themeColor="background1"/>
                <w:sz w:val="18"/>
              </w:rPr>
            </w:pPr>
            <w:r w:rsidRPr="00AF0B75">
              <w:rPr>
                <w:b/>
                <w:color w:val="FFFFFF" w:themeColor="background1"/>
                <w:sz w:val="18"/>
              </w:rPr>
              <w:t>Station de surveillance</w:t>
            </w:r>
          </w:p>
          <w:p w:rsidR="004018B8" w:rsidRPr="00AF0B75" w:rsidRDefault="004018B8" w:rsidP="004018B8">
            <w:pPr>
              <w:jc w:val="center"/>
              <w:textAlignment w:val="baseline"/>
              <w:rPr>
                <w:b/>
                <w:color w:val="FFFFFF" w:themeColor="background1"/>
                <w:sz w:val="18"/>
              </w:rPr>
            </w:pPr>
            <w:r w:rsidRPr="00AF0B75">
              <w:rPr>
                <w:b/>
                <w:color w:val="FFFFFF" w:themeColor="background1"/>
                <w:sz w:val="18"/>
              </w:rPr>
              <w:t xml:space="preserve">du Canal de </w:t>
            </w:r>
            <w:proofErr w:type="spellStart"/>
            <w:r w:rsidRPr="00AF0B75">
              <w:rPr>
                <w:b/>
                <w:color w:val="FFFFFF" w:themeColor="background1"/>
                <w:sz w:val="18"/>
              </w:rPr>
              <w:t>Neuffossé</w:t>
            </w:r>
            <w:proofErr w:type="spellEnd"/>
            <w:r w:rsidRPr="00AF0B75">
              <w:rPr>
                <w:b/>
                <w:color w:val="FFFFFF" w:themeColor="background1"/>
                <w:sz w:val="18"/>
              </w:rPr>
              <w:t xml:space="preserve"> à Arques</w:t>
            </w:r>
          </w:p>
          <w:p w:rsidR="004018B8" w:rsidRPr="0079367E" w:rsidRDefault="004018B8" w:rsidP="004018B8">
            <w:pPr>
              <w:pStyle w:val="Style1"/>
              <w:numPr>
                <w:ilvl w:val="0"/>
                <w:numId w:val="0"/>
              </w:numPr>
              <w:ind w:right="-107"/>
              <w:jc w:val="center"/>
              <w:textAlignment w:val="baseline"/>
              <w:rPr>
                <w:color w:val="FFFFFF" w:themeColor="background1"/>
                <w:sz w:val="20"/>
                <w:highlight w:val="yellow"/>
              </w:rPr>
            </w:pPr>
            <w:r w:rsidRPr="00AF0B75">
              <w:rPr>
                <w:color w:val="FFFFFF" w:themeColor="background1"/>
                <w:sz w:val="18"/>
              </w:rPr>
              <w:t>(n° 0110500)</w:t>
            </w:r>
            <w:r w:rsidRPr="0079367E">
              <w:rPr>
                <w:color w:val="FFFFFF" w:themeColor="background1"/>
                <w:sz w:val="20"/>
              </w:rPr>
              <w:t xml:space="preserve"> (</w:t>
            </w:r>
            <w:proofErr w:type="spellStart"/>
            <w:r w:rsidRPr="0079367E">
              <w:rPr>
                <w:color w:val="FFFFFF" w:themeColor="background1"/>
                <w:sz w:val="20"/>
              </w:rPr>
              <w:t>Q</w:t>
            </w:r>
            <w:r>
              <w:rPr>
                <w:color w:val="FFFFFF" w:themeColor="background1"/>
                <w:sz w:val="20"/>
                <w:vertAlign w:val="subscript"/>
              </w:rPr>
              <w:t>aval</w:t>
            </w:r>
            <w:proofErr w:type="spellEnd"/>
            <w:r w:rsidRPr="0079367E">
              <w:rPr>
                <w:color w:val="FFFFFF" w:themeColor="background1"/>
                <w:sz w:val="20"/>
              </w:rPr>
              <w:t>)</w:t>
            </w:r>
          </w:p>
        </w:tc>
      </w:tr>
      <w:tr w:rsidR="004018B8" w:rsidTr="004018B8">
        <w:trPr>
          <w:trHeight w:val="242"/>
        </w:trPr>
        <w:tc>
          <w:tcPr>
            <w:tcW w:w="365"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018B8" w:rsidRDefault="004018B8">
            <w:pPr>
              <w:pStyle w:val="Style1"/>
              <w:numPr>
                <w:ilvl w:val="0"/>
                <w:numId w:val="0"/>
              </w:numPr>
              <w:jc w:val="center"/>
              <w:textAlignment w:val="baseline"/>
              <w:rPr>
                <w:color w:val="FFFFFF" w:themeColor="background1"/>
                <w:sz w:val="22"/>
              </w:rPr>
            </w:pPr>
            <w:r>
              <w:rPr>
                <w:color w:val="FFFFFF" w:themeColor="background1"/>
                <w:sz w:val="20"/>
              </w:rPr>
              <w:t>m</w:t>
            </w:r>
            <w:r>
              <w:rPr>
                <w:color w:val="FFFFFF" w:themeColor="background1"/>
                <w:sz w:val="20"/>
                <w:vertAlign w:val="superscript"/>
              </w:rPr>
              <w:t>3</w:t>
            </w:r>
            <w:r>
              <w:rPr>
                <w:color w:val="FFFFFF" w:themeColor="background1"/>
                <w:sz w:val="20"/>
              </w:rPr>
              <w:t>/j</w:t>
            </w:r>
          </w:p>
        </w:tc>
        <w:tc>
          <w:tcPr>
            <w:tcW w:w="1650" w:type="pct"/>
            <w:tcBorders>
              <w:top w:val="single" w:sz="4" w:space="0" w:color="auto"/>
              <w:left w:val="single" w:sz="4" w:space="0" w:color="auto"/>
              <w:bottom w:val="single" w:sz="4" w:space="0" w:color="auto"/>
              <w:right w:val="single" w:sz="4" w:space="0" w:color="auto"/>
            </w:tcBorders>
            <w:vAlign w:val="center"/>
            <w:hideMark/>
          </w:tcPr>
          <w:p w:rsidR="004018B8" w:rsidRPr="00AD06CE" w:rsidRDefault="004018B8">
            <w:pPr>
              <w:pStyle w:val="Style1"/>
              <w:numPr>
                <w:ilvl w:val="0"/>
                <w:numId w:val="0"/>
              </w:numPr>
              <w:jc w:val="center"/>
              <w:textAlignment w:val="baseline"/>
              <w:rPr>
                <w:sz w:val="20"/>
                <w:highlight w:val="yellow"/>
              </w:rPr>
            </w:pPr>
            <w:r>
              <w:rPr>
                <w:sz w:val="20"/>
              </w:rPr>
              <w:t>75</w:t>
            </w:r>
          </w:p>
        </w:tc>
        <w:tc>
          <w:tcPr>
            <w:tcW w:w="280" w:type="pct"/>
            <w:tcBorders>
              <w:top w:val="nil"/>
              <w:left w:val="single" w:sz="4" w:space="0" w:color="auto"/>
              <w:bottom w:val="nil"/>
              <w:right w:val="single" w:sz="4" w:space="0" w:color="auto"/>
            </w:tcBorders>
          </w:tcPr>
          <w:p w:rsidR="004018B8" w:rsidRDefault="004018B8">
            <w:pPr>
              <w:pStyle w:val="Style1"/>
              <w:numPr>
                <w:ilvl w:val="0"/>
                <w:numId w:val="0"/>
              </w:numPr>
              <w:textAlignment w:val="baseline"/>
              <w:rPr>
                <w:sz w:val="20"/>
              </w:rPr>
            </w:pPr>
          </w:p>
        </w:tc>
        <w:tc>
          <w:tcPr>
            <w:tcW w:w="1157"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4018B8" w:rsidRDefault="004018B8">
            <w:pPr>
              <w:pStyle w:val="Style1"/>
              <w:numPr>
                <w:ilvl w:val="0"/>
                <w:numId w:val="0"/>
              </w:numPr>
              <w:jc w:val="center"/>
              <w:textAlignment w:val="baseline"/>
              <w:rPr>
                <w:color w:val="FFFFFF" w:themeColor="background1"/>
                <w:sz w:val="20"/>
              </w:rPr>
            </w:pPr>
            <w:r>
              <w:rPr>
                <w:color w:val="FFFFFF" w:themeColor="background1"/>
                <w:sz w:val="20"/>
              </w:rPr>
              <w:t>Débit de référence estimé (m</w:t>
            </w:r>
            <w:r>
              <w:rPr>
                <w:color w:val="FFFFFF" w:themeColor="background1"/>
                <w:sz w:val="20"/>
                <w:vertAlign w:val="superscript"/>
              </w:rPr>
              <w:t>3</w:t>
            </w:r>
            <w:r>
              <w:rPr>
                <w:color w:val="FFFFFF" w:themeColor="background1"/>
                <w:sz w:val="20"/>
              </w:rPr>
              <w:t>/s)</w:t>
            </w:r>
          </w:p>
        </w:tc>
        <w:tc>
          <w:tcPr>
            <w:tcW w:w="1548" w:type="pct"/>
            <w:tcBorders>
              <w:top w:val="single" w:sz="4" w:space="0" w:color="auto"/>
              <w:left w:val="single" w:sz="4" w:space="0" w:color="auto"/>
              <w:bottom w:val="single" w:sz="4" w:space="0" w:color="auto"/>
              <w:right w:val="single" w:sz="4" w:space="0" w:color="auto"/>
            </w:tcBorders>
            <w:vAlign w:val="center"/>
            <w:hideMark/>
          </w:tcPr>
          <w:p w:rsidR="004018B8" w:rsidRPr="00AD06CE" w:rsidRDefault="00C1513D" w:rsidP="00C1513D">
            <w:pPr>
              <w:pStyle w:val="Style1"/>
              <w:numPr>
                <w:ilvl w:val="0"/>
                <w:numId w:val="0"/>
              </w:numPr>
              <w:jc w:val="center"/>
              <w:textAlignment w:val="baseline"/>
              <w:rPr>
                <w:sz w:val="20"/>
                <w:highlight w:val="yellow"/>
              </w:rPr>
            </w:pPr>
            <w:r>
              <w:rPr>
                <w:sz w:val="20"/>
              </w:rPr>
              <w:t>4</w:t>
            </w:r>
            <w:r w:rsidR="004018B8" w:rsidRPr="009659FC">
              <w:rPr>
                <w:sz w:val="20"/>
              </w:rPr>
              <w:t xml:space="preserve"> </w:t>
            </w:r>
            <w:r w:rsidR="004018B8" w:rsidRPr="009659FC">
              <w:rPr>
                <w:b w:val="0"/>
                <w:sz w:val="20"/>
              </w:rPr>
              <w:t>(</w:t>
            </w:r>
            <w:r>
              <w:rPr>
                <w:b w:val="0"/>
                <w:sz w:val="20"/>
              </w:rPr>
              <w:t>345 600</w:t>
            </w:r>
            <w:r w:rsidR="004018B8" w:rsidRPr="009659FC">
              <w:rPr>
                <w:b w:val="0"/>
                <w:sz w:val="20"/>
              </w:rPr>
              <w:t xml:space="preserve"> m</w:t>
            </w:r>
            <w:r w:rsidR="004018B8" w:rsidRPr="009659FC">
              <w:rPr>
                <w:b w:val="0"/>
                <w:sz w:val="20"/>
                <w:vertAlign w:val="superscript"/>
              </w:rPr>
              <w:t>3</w:t>
            </w:r>
            <w:r w:rsidR="004018B8" w:rsidRPr="009659FC">
              <w:rPr>
                <w:b w:val="0"/>
                <w:sz w:val="20"/>
              </w:rPr>
              <w:t>/j)</w:t>
            </w:r>
            <w:r w:rsidR="004503C7">
              <w:rPr>
                <w:b w:val="0"/>
                <w:sz w:val="20"/>
              </w:rPr>
              <w:t xml:space="preserve"> </w:t>
            </w:r>
            <w:r w:rsidR="004503C7">
              <w:rPr>
                <w:rStyle w:val="Appelnotedebasdep"/>
                <w:b w:val="0"/>
                <w:sz w:val="20"/>
              </w:rPr>
              <w:footnoteReference w:id="2"/>
            </w:r>
          </w:p>
        </w:tc>
      </w:tr>
    </w:tbl>
    <w:p w:rsidR="00576784" w:rsidRDefault="00576784" w:rsidP="00576784"/>
    <w:tbl>
      <w:tblPr>
        <w:tblStyle w:val="Grilledutableau"/>
        <w:tblW w:w="5000" w:type="pct"/>
        <w:tblLook w:val="04A0"/>
      </w:tblPr>
      <w:tblGrid>
        <w:gridCol w:w="4773"/>
        <w:gridCol w:w="1482"/>
        <w:gridCol w:w="1854"/>
        <w:gridCol w:w="2036"/>
        <w:gridCol w:w="2036"/>
        <w:gridCol w:w="2039"/>
      </w:tblGrid>
      <w:tr w:rsidR="005C517F" w:rsidRPr="00AD06CE" w:rsidTr="006176C9">
        <w:trPr>
          <w:trHeight w:val="765"/>
        </w:trPr>
        <w:tc>
          <w:tcPr>
            <w:tcW w:w="1678" w:type="pct"/>
            <w:tcBorders>
              <w:top w:val="single" w:sz="4" w:space="0" w:color="auto"/>
              <w:left w:val="single" w:sz="4" w:space="0" w:color="auto"/>
              <w:bottom w:val="single" w:sz="4" w:space="0" w:color="auto"/>
              <w:right w:val="single" w:sz="4" w:space="0" w:color="auto"/>
            </w:tcBorders>
          </w:tcPr>
          <w:p w:rsidR="005C517F" w:rsidRPr="00AD06CE" w:rsidRDefault="005C517F">
            <w:pPr>
              <w:textAlignment w:val="baseline"/>
              <w:rPr>
                <w:rFonts w:ascii="Arial" w:hAnsi="Arial" w:cs="Arial"/>
                <w:sz w:val="20"/>
                <w:szCs w:val="20"/>
              </w:rPr>
            </w:pPr>
          </w:p>
        </w:tc>
        <w:tc>
          <w:tcPr>
            <w:tcW w:w="521" w:type="pct"/>
            <w:tcBorders>
              <w:top w:val="single" w:sz="4" w:space="0" w:color="auto"/>
              <w:left w:val="single" w:sz="4" w:space="0" w:color="auto"/>
              <w:bottom w:val="single" w:sz="4" w:space="0" w:color="auto"/>
              <w:right w:val="single" w:sz="4" w:space="0" w:color="auto"/>
            </w:tcBorders>
          </w:tcPr>
          <w:p w:rsidR="005C517F" w:rsidRPr="00AD06CE" w:rsidRDefault="005C517F">
            <w:pPr>
              <w:textAlignment w:val="baseline"/>
              <w:rPr>
                <w:rFonts w:ascii="Arial" w:hAnsi="Arial" w:cs="Arial"/>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5C517F" w:rsidRPr="00AD06CE" w:rsidRDefault="005C517F">
            <w:pPr>
              <w:jc w:val="center"/>
              <w:textAlignment w:val="baseline"/>
              <w:rPr>
                <w:rFonts w:ascii="Arial" w:hAnsi="Arial" w:cs="Arial"/>
                <w:b/>
                <w:color w:val="FFFFFF" w:themeColor="background1"/>
                <w:sz w:val="20"/>
                <w:szCs w:val="20"/>
              </w:rPr>
            </w:pPr>
            <w:r w:rsidRPr="00AD06CE">
              <w:rPr>
                <w:rFonts w:ascii="Arial" w:hAnsi="Arial" w:cs="Arial"/>
                <w:b/>
                <w:color w:val="FFFFFF" w:themeColor="background1"/>
                <w:sz w:val="20"/>
                <w:szCs w:val="20"/>
              </w:rPr>
              <w:t>DBO5</w:t>
            </w:r>
          </w:p>
        </w:tc>
        <w:tc>
          <w:tcPr>
            <w:tcW w:w="716"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5C517F" w:rsidRPr="00AD06CE" w:rsidRDefault="005C517F">
            <w:pPr>
              <w:jc w:val="center"/>
              <w:textAlignment w:val="baseline"/>
              <w:rPr>
                <w:rFonts w:ascii="Arial" w:hAnsi="Arial" w:cs="Arial"/>
                <w:b/>
                <w:color w:val="FFFFFF" w:themeColor="background1"/>
                <w:sz w:val="20"/>
                <w:szCs w:val="20"/>
              </w:rPr>
            </w:pPr>
            <w:r w:rsidRPr="00AD06CE">
              <w:rPr>
                <w:rFonts w:ascii="Arial" w:hAnsi="Arial" w:cs="Arial"/>
                <w:b/>
                <w:color w:val="FFFFFF" w:themeColor="background1"/>
                <w:sz w:val="20"/>
                <w:szCs w:val="20"/>
              </w:rPr>
              <w:t>DCO</w:t>
            </w:r>
          </w:p>
        </w:tc>
        <w:tc>
          <w:tcPr>
            <w:tcW w:w="716"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5C517F" w:rsidRPr="00AD06CE" w:rsidRDefault="005C517F">
            <w:pPr>
              <w:jc w:val="center"/>
              <w:textAlignment w:val="baseline"/>
              <w:rPr>
                <w:rFonts w:ascii="Arial" w:hAnsi="Arial" w:cs="Arial"/>
                <w:b/>
                <w:color w:val="FFFFFF" w:themeColor="background1"/>
                <w:sz w:val="20"/>
                <w:szCs w:val="20"/>
              </w:rPr>
            </w:pPr>
            <w:r w:rsidRPr="00AD06CE">
              <w:rPr>
                <w:rFonts w:ascii="Arial" w:hAnsi="Arial" w:cs="Arial"/>
                <w:b/>
                <w:color w:val="FFFFFF" w:themeColor="background1"/>
                <w:sz w:val="20"/>
                <w:szCs w:val="20"/>
              </w:rPr>
              <w:t>MES</w:t>
            </w:r>
          </w:p>
        </w:tc>
        <w:tc>
          <w:tcPr>
            <w:tcW w:w="716"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5C517F" w:rsidRPr="00AD06CE" w:rsidRDefault="005C517F" w:rsidP="009E5054">
            <w:pPr>
              <w:jc w:val="center"/>
              <w:textAlignment w:val="baseline"/>
              <w:rPr>
                <w:rFonts w:ascii="Arial" w:hAnsi="Arial" w:cs="Arial"/>
                <w:b/>
                <w:color w:val="FFFFFF" w:themeColor="background1"/>
                <w:sz w:val="20"/>
                <w:szCs w:val="20"/>
              </w:rPr>
            </w:pPr>
            <w:r w:rsidRPr="00AD06CE">
              <w:rPr>
                <w:rFonts w:ascii="Arial" w:hAnsi="Arial" w:cs="Arial"/>
                <w:b/>
                <w:color w:val="FFFFFF" w:themeColor="background1"/>
                <w:sz w:val="20"/>
                <w:szCs w:val="20"/>
              </w:rPr>
              <w:t xml:space="preserve">Azote </w:t>
            </w:r>
            <w:proofErr w:type="spellStart"/>
            <w:r>
              <w:rPr>
                <w:rFonts w:ascii="Arial" w:hAnsi="Arial" w:cs="Arial"/>
                <w:b/>
                <w:color w:val="FFFFFF" w:themeColor="background1"/>
                <w:sz w:val="20"/>
                <w:szCs w:val="20"/>
              </w:rPr>
              <w:t>kjeldahl</w:t>
            </w:r>
            <w:proofErr w:type="spellEnd"/>
          </w:p>
        </w:tc>
      </w:tr>
      <w:tr w:rsidR="0017774E" w:rsidRPr="00AD06CE" w:rsidTr="006176C9">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7774E" w:rsidRDefault="0017774E">
            <w:pPr>
              <w:jc w:val="center"/>
              <w:textAlignment w:val="baseline"/>
              <w:rPr>
                <w:rFonts w:ascii="Arial" w:hAnsi="Arial" w:cs="Arial"/>
                <w:sz w:val="20"/>
                <w:szCs w:val="20"/>
              </w:rPr>
            </w:pPr>
            <w:r>
              <w:rPr>
                <w:rFonts w:ascii="Arial" w:hAnsi="Arial" w:cs="Arial"/>
                <w:sz w:val="20"/>
                <w:szCs w:val="20"/>
              </w:rPr>
              <w:t>Valeurs prévisionnelles d’émission du site</w:t>
            </w:r>
          </w:p>
        </w:tc>
      </w:tr>
      <w:tr w:rsidR="005C517F" w:rsidRPr="00AD06CE" w:rsidTr="006176C9">
        <w:tc>
          <w:tcPr>
            <w:tcW w:w="1678"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 xml:space="preserve">Concentrations </w:t>
            </w:r>
            <w:r>
              <w:rPr>
                <w:rFonts w:ascii="Arial" w:hAnsi="Arial" w:cs="Arial"/>
                <w:sz w:val="20"/>
                <w:szCs w:val="20"/>
              </w:rPr>
              <w:t xml:space="preserve">prévisionnelles </w:t>
            </w:r>
          </w:p>
          <w:p w:rsidR="005C517F" w:rsidRPr="00AD06CE" w:rsidRDefault="005C517F">
            <w:pPr>
              <w:jc w:val="center"/>
              <w:textAlignment w:val="baseline"/>
              <w:rPr>
                <w:rFonts w:ascii="Arial" w:hAnsi="Arial" w:cs="Arial"/>
                <w:b/>
                <w:sz w:val="20"/>
                <w:szCs w:val="20"/>
              </w:rPr>
            </w:pPr>
            <w:r w:rsidRPr="00AD06CE">
              <w:rPr>
                <w:rFonts w:ascii="Arial" w:hAnsi="Arial" w:cs="Arial"/>
                <w:b/>
                <w:sz w:val="20"/>
                <w:szCs w:val="20"/>
              </w:rPr>
              <w:t>(</w:t>
            </w:r>
            <w:proofErr w:type="spellStart"/>
            <w:r w:rsidRPr="00AD06CE">
              <w:rPr>
                <w:rFonts w:ascii="Arial" w:hAnsi="Arial" w:cs="Arial"/>
                <w:b/>
                <w:sz w:val="20"/>
                <w:szCs w:val="20"/>
              </w:rPr>
              <w:t>C</w:t>
            </w:r>
            <w:r w:rsidRPr="00AD06CE">
              <w:rPr>
                <w:rFonts w:ascii="Arial" w:hAnsi="Arial" w:cs="Arial"/>
                <w:b/>
                <w:sz w:val="20"/>
                <w:szCs w:val="20"/>
                <w:vertAlign w:val="subscript"/>
              </w:rPr>
              <w:t>contributeur</w:t>
            </w:r>
            <w:proofErr w:type="spellEnd"/>
            <w:r w:rsidRPr="00AD06CE">
              <w:rPr>
                <w:rFonts w:ascii="Arial" w:hAnsi="Arial" w:cs="Arial"/>
                <w:b/>
                <w:sz w:val="20"/>
                <w:szCs w:val="20"/>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mg/L</w:t>
            </w:r>
          </w:p>
        </w:tc>
        <w:tc>
          <w:tcPr>
            <w:tcW w:w="652"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Pr>
                <w:rFonts w:ascii="Arial" w:hAnsi="Arial" w:cs="Arial"/>
                <w:sz w:val="20"/>
                <w:szCs w:val="20"/>
              </w:rPr>
              <w:t>5</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Pr>
                <w:rFonts w:ascii="Arial" w:hAnsi="Arial" w:cs="Arial"/>
                <w:sz w:val="20"/>
                <w:szCs w:val="20"/>
              </w:rPr>
              <w:t>60</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Pr>
                <w:rFonts w:ascii="Arial" w:hAnsi="Arial" w:cs="Arial"/>
                <w:sz w:val="20"/>
                <w:szCs w:val="20"/>
              </w:rPr>
              <w:t>10</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Pr>
                <w:rFonts w:ascii="Arial" w:hAnsi="Arial" w:cs="Arial"/>
                <w:sz w:val="20"/>
                <w:szCs w:val="20"/>
              </w:rPr>
              <w:t>3</w:t>
            </w:r>
          </w:p>
        </w:tc>
      </w:tr>
      <w:tr w:rsidR="0017774E" w:rsidRPr="00AD06CE" w:rsidTr="006176C9">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7774E" w:rsidRPr="005726F6" w:rsidRDefault="0017774E" w:rsidP="0017774E">
            <w:pPr>
              <w:jc w:val="center"/>
              <w:textAlignment w:val="baseline"/>
              <w:rPr>
                <w:rFonts w:ascii="Arial" w:hAnsi="Arial" w:cs="Arial"/>
                <w:sz w:val="20"/>
                <w:szCs w:val="20"/>
              </w:rPr>
            </w:pPr>
            <w:r>
              <w:rPr>
                <w:rFonts w:ascii="Arial" w:hAnsi="Arial" w:cs="Arial"/>
                <w:sz w:val="20"/>
                <w:szCs w:val="20"/>
              </w:rPr>
              <w:t xml:space="preserve">Concentrations mesurées à la station du Canal de </w:t>
            </w:r>
            <w:proofErr w:type="spellStart"/>
            <w:r>
              <w:rPr>
                <w:rFonts w:ascii="Arial" w:hAnsi="Arial" w:cs="Arial"/>
                <w:sz w:val="20"/>
                <w:szCs w:val="20"/>
              </w:rPr>
              <w:t>Neuffossé</w:t>
            </w:r>
            <w:proofErr w:type="spellEnd"/>
            <w:r>
              <w:rPr>
                <w:rFonts w:ascii="Arial" w:hAnsi="Arial" w:cs="Arial"/>
                <w:sz w:val="20"/>
                <w:szCs w:val="20"/>
              </w:rPr>
              <w:t xml:space="preserve"> à Arques (2017-2018)</w:t>
            </w:r>
          </w:p>
        </w:tc>
      </w:tr>
      <w:tr w:rsidR="005C517F" w:rsidRPr="00AD06CE" w:rsidTr="006176C9">
        <w:tc>
          <w:tcPr>
            <w:tcW w:w="1678"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Concentrations moyennes mensuelles</w:t>
            </w:r>
          </w:p>
        </w:tc>
        <w:tc>
          <w:tcPr>
            <w:tcW w:w="521"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mg/L</w:t>
            </w:r>
          </w:p>
        </w:tc>
        <w:tc>
          <w:tcPr>
            <w:tcW w:w="652" w:type="pct"/>
            <w:tcBorders>
              <w:top w:val="single" w:sz="4" w:space="0" w:color="auto"/>
              <w:left w:val="single" w:sz="4" w:space="0" w:color="auto"/>
              <w:bottom w:val="single" w:sz="4" w:space="0" w:color="auto"/>
              <w:right w:val="single" w:sz="4" w:space="0" w:color="auto"/>
            </w:tcBorders>
            <w:vAlign w:val="center"/>
            <w:hideMark/>
          </w:tcPr>
          <w:p w:rsidR="005C517F" w:rsidRPr="005726F6" w:rsidRDefault="0017774E">
            <w:pPr>
              <w:jc w:val="center"/>
              <w:textAlignment w:val="baseline"/>
              <w:rPr>
                <w:rFonts w:ascii="Arial" w:hAnsi="Arial" w:cs="Arial"/>
                <w:sz w:val="20"/>
                <w:szCs w:val="20"/>
              </w:rPr>
            </w:pPr>
            <w:r>
              <w:rPr>
                <w:rFonts w:ascii="Arial" w:hAnsi="Arial" w:cs="Arial"/>
                <w:sz w:val="20"/>
                <w:szCs w:val="20"/>
              </w:rPr>
              <w:t>1,80</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5726F6" w:rsidRDefault="0017774E">
            <w:pPr>
              <w:jc w:val="center"/>
              <w:textAlignment w:val="baseline"/>
              <w:rPr>
                <w:rFonts w:ascii="Arial" w:hAnsi="Arial" w:cs="Arial"/>
                <w:sz w:val="20"/>
                <w:szCs w:val="20"/>
              </w:rPr>
            </w:pPr>
            <w:r>
              <w:rPr>
                <w:rFonts w:ascii="Arial" w:hAnsi="Arial" w:cs="Arial"/>
                <w:sz w:val="20"/>
                <w:szCs w:val="20"/>
              </w:rPr>
              <w:t>12,25</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5726F6" w:rsidRDefault="0017774E">
            <w:pPr>
              <w:jc w:val="center"/>
              <w:textAlignment w:val="baseline"/>
              <w:rPr>
                <w:rFonts w:ascii="Arial" w:hAnsi="Arial" w:cs="Arial"/>
                <w:sz w:val="20"/>
                <w:szCs w:val="20"/>
              </w:rPr>
            </w:pPr>
            <w:r>
              <w:rPr>
                <w:rFonts w:ascii="Arial" w:hAnsi="Arial" w:cs="Arial"/>
                <w:sz w:val="20"/>
                <w:szCs w:val="20"/>
              </w:rPr>
              <w:t>48,83</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5726F6" w:rsidRDefault="0017774E" w:rsidP="0017774E">
            <w:pPr>
              <w:jc w:val="center"/>
              <w:textAlignment w:val="baseline"/>
              <w:rPr>
                <w:rFonts w:ascii="Arial" w:hAnsi="Arial" w:cs="Arial"/>
                <w:sz w:val="20"/>
                <w:szCs w:val="20"/>
              </w:rPr>
            </w:pPr>
            <w:r>
              <w:rPr>
                <w:rFonts w:ascii="Arial" w:hAnsi="Arial" w:cs="Arial"/>
                <w:sz w:val="20"/>
                <w:szCs w:val="20"/>
              </w:rPr>
              <w:t>0,68</w:t>
            </w:r>
          </w:p>
        </w:tc>
      </w:tr>
      <w:tr w:rsidR="0017774E" w:rsidRPr="00AD06CE" w:rsidTr="006176C9">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7774E" w:rsidRDefault="0017774E">
            <w:pPr>
              <w:jc w:val="center"/>
              <w:textAlignment w:val="baseline"/>
              <w:rPr>
                <w:rFonts w:ascii="Arial" w:hAnsi="Arial" w:cs="Arial"/>
                <w:sz w:val="20"/>
                <w:szCs w:val="20"/>
              </w:rPr>
            </w:pPr>
            <w:r>
              <w:rPr>
                <w:rFonts w:ascii="Arial" w:hAnsi="Arial" w:cs="Arial"/>
                <w:sz w:val="20"/>
                <w:szCs w:val="20"/>
              </w:rPr>
              <w:t xml:space="preserve">Valeurs seuils correspondant à l’objectif de bon état écologique </w:t>
            </w:r>
            <w:r w:rsidRPr="0017774E">
              <w:rPr>
                <w:rFonts w:ascii="Arial" w:hAnsi="Arial" w:cs="Arial"/>
                <w:b/>
                <w:sz w:val="20"/>
                <w:szCs w:val="20"/>
              </w:rPr>
              <w:t>(NQE)</w:t>
            </w:r>
          </w:p>
        </w:tc>
      </w:tr>
      <w:tr w:rsidR="005C517F" w:rsidRPr="00AD06CE" w:rsidTr="006176C9">
        <w:tc>
          <w:tcPr>
            <w:tcW w:w="1678"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NQE</w:t>
            </w:r>
          </w:p>
        </w:tc>
        <w:tc>
          <w:tcPr>
            <w:tcW w:w="521"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mg/L</w:t>
            </w:r>
          </w:p>
        </w:tc>
        <w:tc>
          <w:tcPr>
            <w:tcW w:w="652" w:type="pct"/>
            <w:tcBorders>
              <w:top w:val="single" w:sz="4" w:space="0" w:color="auto"/>
              <w:left w:val="single" w:sz="4" w:space="0" w:color="auto"/>
              <w:bottom w:val="single" w:sz="4" w:space="0" w:color="auto"/>
              <w:right w:val="single" w:sz="4" w:space="0" w:color="auto"/>
            </w:tcBorders>
            <w:vAlign w:val="center"/>
            <w:hideMark/>
          </w:tcPr>
          <w:p w:rsidR="005C517F" w:rsidRPr="00B93C6F" w:rsidRDefault="005C517F">
            <w:pPr>
              <w:jc w:val="center"/>
              <w:textAlignment w:val="baseline"/>
              <w:rPr>
                <w:rFonts w:ascii="Arial" w:hAnsi="Arial" w:cs="Arial"/>
                <w:sz w:val="20"/>
                <w:szCs w:val="20"/>
              </w:rPr>
            </w:pPr>
            <w:r w:rsidRPr="00B93C6F">
              <w:rPr>
                <w:rFonts w:ascii="Arial" w:hAnsi="Arial" w:cs="Arial"/>
                <w:sz w:val="20"/>
                <w:szCs w:val="20"/>
              </w:rPr>
              <w:t>6</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B93C6F" w:rsidRDefault="005C517F">
            <w:pPr>
              <w:jc w:val="center"/>
              <w:textAlignment w:val="baseline"/>
              <w:rPr>
                <w:rFonts w:ascii="Arial" w:hAnsi="Arial" w:cs="Arial"/>
                <w:sz w:val="20"/>
                <w:szCs w:val="20"/>
              </w:rPr>
            </w:pPr>
            <w:r w:rsidRPr="00B93C6F">
              <w:rPr>
                <w:rFonts w:ascii="Arial" w:hAnsi="Arial" w:cs="Arial"/>
                <w:sz w:val="20"/>
                <w:szCs w:val="20"/>
              </w:rPr>
              <w:t>30</w:t>
            </w:r>
            <w:r w:rsidR="004503C7">
              <w:rPr>
                <w:rFonts w:ascii="Arial" w:hAnsi="Arial" w:cs="Arial"/>
                <w:sz w:val="20"/>
                <w:szCs w:val="20"/>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B93C6F" w:rsidRDefault="005C517F">
            <w:pPr>
              <w:jc w:val="center"/>
              <w:textAlignment w:val="baseline"/>
              <w:rPr>
                <w:rFonts w:ascii="Arial" w:hAnsi="Arial" w:cs="Arial"/>
                <w:sz w:val="20"/>
                <w:szCs w:val="20"/>
              </w:rPr>
            </w:pPr>
            <w:r w:rsidRPr="00B93C6F">
              <w:rPr>
                <w:rFonts w:ascii="Arial" w:hAnsi="Arial" w:cs="Arial"/>
                <w:sz w:val="20"/>
                <w:szCs w:val="20"/>
              </w:rPr>
              <w:t>50</w:t>
            </w:r>
            <w:r w:rsidRPr="00B93C6F">
              <w:rPr>
                <w:rStyle w:val="Appelnotedebasdep"/>
                <w:rFonts w:ascii="Arial" w:hAnsi="Arial" w:cs="Arial"/>
                <w:sz w:val="20"/>
                <w:szCs w:val="20"/>
              </w:rPr>
              <w:footnoteReference w:id="3"/>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B93C6F" w:rsidRDefault="005C517F">
            <w:pPr>
              <w:jc w:val="center"/>
              <w:textAlignment w:val="baseline"/>
              <w:rPr>
                <w:rFonts w:ascii="Arial" w:hAnsi="Arial" w:cs="Arial"/>
                <w:sz w:val="20"/>
                <w:szCs w:val="20"/>
              </w:rPr>
            </w:pPr>
            <w:r>
              <w:rPr>
                <w:rFonts w:ascii="Arial" w:hAnsi="Arial" w:cs="Arial"/>
                <w:sz w:val="20"/>
                <w:szCs w:val="20"/>
              </w:rPr>
              <w:t>/</w:t>
            </w:r>
          </w:p>
        </w:tc>
      </w:tr>
      <w:tr w:rsidR="005C517F" w:rsidRPr="00AD06CE" w:rsidTr="006176C9">
        <w:trPr>
          <w:trHeight w:val="646"/>
        </w:trPr>
        <w:tc>
          <w:tcPr>
            <w:tcW w:w="1678" w:type="pct"/>
            <w:tcBorders>
              <w:top w:val="single" w:sz="4" w:space="0" w:color="auto"/>
              <w:left w:val="nil"/>
              <w:bottom w:val="single" w:sz="4" w:space="0" w:color="auto"/>
              <w:right w:val="nil"/>
            </w:tcBorders>
            <w:vAlign w:val="center"/>
            <w:hideMark/>
          </w:tcPr>
          <w:p w:rsidR="005C517F" w:rsidRPr="00AD06CE" w:rsidRDefault="005C517F">
            <w:pPr>
              <w:textAlignment w:val="baseline"/>
              <w:rPr>
                <w:rFonts w:ascii="Arial" w:hAnsi="Arial" w:cs="Arial"/>
                <w:b/>
                <w:sz w:val="20"/>
                <w:szCs w:val="20"/>
                <w:u w:val="single"/>
              </w:rPr>
            </w:pPr>
            <w:r w:rsidRPr="00AD06CE">
              <w:rPr>
                <w:rFonts w:ascii="Arial" w:hAnsi="Arial" w:cs="Arial"/>
                <w:b/>
                <w:sz w:val="20"/>
                <w:szCs w:val="20"/>
                <w:u w:val="single"/>
              </w:rPr>
              <w:t>Admissibilité du flux</w:t>
            </w:r>
            <w:r w:rsidRPr="00AD06CE">
              <w:rPr>
                <w:rFonts w:ascii="Arial" w:hAnsi="Arial" w:cs="Arial"/>
                <w:b/>
                <w:sz w:val="20"/>
                <w:szCs w:val="20"/>
              </w:rPr>
              <w:t> :</w:t>
            </w:r>
          </w:p>
        </w:tc>
        <w:tc>
          <w:tcPr>
            <w:tcW w:w="521" w:type="pct"/>
            <w:tcBorders>
              <w:top w:val="single" w:sz="4" w:space="0" w:color="auto"/>
              <w:left w:val="nil"/>
              <w:bottom w:val="single" w:sz="4" w:space="0" w:color="auto"/>
              <w:right w:val="nil"/>
            </w:tcBorders>
            <w:vAlign w:val="center"/>
          </w:tcPr>
          <w:p w:rsidR="005C517F" w:rsidRPr="00AD06CE" w:rsidRDefault="005C517F">
            <w:pPr>
              <w:jc w:val="center"/>
              <w:textAlignment w:val="baseline"/>
              <w:rPr>
                <w:rFonts w:ascii="Arial" w:hAnsi="Arial" w:cs="Arial"/>
                <w:sz w:val="20"/>
                <w:szCs w:val="20"/>
              </w:rPr>
            </w:pPr>
          </w:p>
        </w:tc>
        <w:tc>
          <w:tcPr>
            <w:tcW w:w="652" w:type="pct"/>
            <w:tcBorders>
              <w:top w:val="single" w:sz="4" w:space="0" w:color="auto"/>
              <w:left w:val="nil"/>
              <w:bottom w:val="single" w:sz="4" w:space="0" w:color="auto"/>
              <w:right w:val="nil"/>
            </w:tcBorders>
          </w:tcPr>
          <w:p w:rsidR="005C517F" w:rsidRPr="00AD06CE" w:rsidRDefault="005C517F">
            <w:pPr>
              <w:textAlignment w:val="baseline"/>
              <w:rPr>
                <w:rFonts w:ascii="Arial" w:hAnsi="Arial" w:cs="Arial"/>
                <w:sz w:val="20"/>
                <w:szCs w:val="20"/>
              </w:rPr>
            </w:pPr>
          </w:p>
        </w:tc>
        <w:tc>
          <w:tcPr>
            <w:tcW w:w="716" w:type="pct"/>
            <w:tcBorders>
              <w:top w:val="single" w:sz="4" w:space="0" w:color="auto"/>
              <w:left w:val="nil"/>
              <w:bottom w:val="single" w:sz="4" w:space="0" w:color="auto"/>
              <w:right w:val="nil"/>
            </w:tcBorders>
          </w:tcPr>
          <w:p w:rsidR="005C517F" w:rsidRPr="00AD06CE" w:rsidRDefault="005C517F">
            <w:pPr>
              <w:textAlignment w:val="baseline"/>
              <w:rPr>
                <w:rFonts w:ascii="Arial" w:hAnsi="Arial" w:cs="Arial"/>
                <w:sz w:val="20"/>
                <w:szCs w:val="20"/>
              </w:rPr>
            </w:pPr>
          </w:p>
        </w:tc>
        <w:tc>
          <w:tcPr>
            <w:tcW w:w="716" w:type="pct"/>
            <w:tcBorders>
              <w:top w:val="single" w:sz="4" w:space="0" w:color="auto"/>
              <w:left w:val="nil"/>
              <w:bottom w:val="single" w:sz="4" w:space="0" w:color="auto"/>
              <w:right w:val="nil"/>
            </w:tcBorders>
          </w:tcPr>
          <w:p w:rsidR="005C517F" w:rsidRPr="00AD06CE" w:rsidRDefault="005C517F">
            <w:pPr>
              <w:textAlignment w:val="baseline"/>
              <w:rPr>
                <w:rFonts w:ascii="Arial" w:hAnsi="Arial" w:cs="Arial"/>
                <w:sz w:val="20"/>
                <w:szCs w:val="20"/>
              </w:rPr>
            </w:pPr>
          </w:p>
        </w:tc>
        <w:tc>
          <w:tcPr>
            <w:tcW w:w="716" w:type="pct"/>
            <w:tcBorders>
              <w:top w:val="single" w:sz="4" w:space="0" w:color="auto"/>
              <w:left w:val="nil"/>
              <w:bottom w:val="single" w:sz="4" w:space="0" w:color="auto"/>
              <w:right w:val="nil"/>
            </w:tcBorders>
          </w:tcPr>
          <w:p w:rsidR="005C517F" w:rsidRPr="00AD06CE" w:rsidRDefault="005C517F">
            <w:pPr>
              <w:textAlignment w:val="baseline"/>
              <w:rPr>
                <w:rFonts w:ascii="Arial" w:hAnsi="Arial" w:cs="Arial"/>
                <w:sz w:val="20"/>
                <w:szCs w:val="20"/>
              </w:rPr>
            </w:pPr>
          </w:p>
        </w:tc>
      </w:tr>
      <w:tr w:rsidR="005C517F" w:rsidRPr="00AD06CE" w:rsidTr="006176C9">
        <w:tc>
          <w:tcPr>
            <w:tcW w:w="1678"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 xml:space="preserve">Flux maximal rejeté </w:t>
            </w:r>
          </w:p>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w:t>
            </w:r>
            <w:proofErr w:type="spellStart"/>
            <w:r w:rsidRPr="00AD06CE">
              <w:rPr>
                <w:rFonts w:ascii="Arial" w:hAnsi="Arial" w:cs="Arial"/>
                <w:sz w:val="20"/>
                <w:szCs w:val="20"/>
              </w:rPr>
              <w:t>C</w:t>
            </w:r>
            <w:r w:rsidRPr="00AD06CE">
              <w:rPr>
                <w:rFonts w:ascii="Arial" w:hAnsi="Arial" w:cs="Arial"/>
                <w:sz w:val="20"/>
                <w:szCs w:val="20"/>
                <w:vertAlign w:val="subscript"/>
              </w:rPr>
              <w:t>contributeur</w:t>
            </w:r>
            <w:proofErr w:type="spellEnd"/>
            <w:r w:rsidRPr="00AD06CE">
              <w:rPr>
                <w:rFonts w:ascii="Arial" w:hAnsi="Arial" w:cs="Arial"/>
                <w:sz w:val="20"/>
                <w:szCs w:val="20"/>
              </w:rPr>
              <w:t xml:space="preserve"> * </w:t>
            </w:r>
            <w:proofErr w:type="spellStart"/>
            <w:r w:rsidRPr="00AD06CE">
              <w:rPr>
                <w:rFonts w:ascii="Arial" w:hAnsi="Arial" w:cs="Arial"/>
                <w:sz w:val="20"/>
                <w:szCs w:val="20"/>
              </w:rPr>
              <w:t>Q</w:t>
            </w:r>
            <w:r w:rsidRPr="00AD06CE">
              <w:rPr>
                <w:rFonts w:ascii="Arial" w:hAnsi="Arial" w:cs="Arial"/>
                <w:sz w:val="20"/>
                <w:szCs w:val="20"/>
                <w:vertAlign w:val="subscript"/>
              </w:rPr>
              <w:t>contributeur</w:t>
            </w:r>
            <w:proofErr w:type="spellEnd"/>
            <w:r w:rsidRPr="00AD06CE">
              <w:rPr>
                <w:rFonts w:ascii="Arial" w:hAnsi="Arial" w:cs="Arial"/>
                <w:sz w:val="20"/>
                <w:szCs w:val="20"/>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kg/j</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17F" w:rsidRPr="003B78F1" w:rsidRDefault="0017774E" w:rsidP="003B78F1">
            <w:pPr>
              <w:jc w:val="center"/>
              <w:textAlignment w:val="baseline"/>
              <w:rPr>
                <w:rFonts w:ascii="Arial" w:hAnsi="Arial" w:cs="Arial"/>
                <w:sz w:val="20"/>
                <w:szCs w:val="20"/>
              </w:rPr>
            </w:pPr>
            <w:r>
              <w:rPr>
                <w:rFonts w:ascii="Arial" w:hAnsi="Arial" w:cs="Arial"/>
                <w:sz w:val="20"/>
                <w:szCs w:val="20"/>
              </w:rPr>
              <w:t>0,375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17F" w:rsidRPr="003B78F1" w:rsidRDefault="0017774E" w:rsidP="003B78F1">
            <w:pPr>
              <w:jc w:val="center"/>
              <w:textAlignment w:val="baseline"/>
              <w:rPr>
                <w:rFonts w:ascii="Arial" w:hAnsi="Arial" w:cs="Arial"/>
                <w:sz w:val="20"/>
                <w:szCs w:val="20"/>
              </w:rPr>
            </w:pPr>
            <w:r>
              <w:rPr>
                <w:rFonts w:ascii="Arial" w:hAnsi="Arial" w:cs="Arial"/>
                <w:sz w:val="20"/>
                <w:szCs w:val="20"/>
              </w:rPr>
              <w:t>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17F" w:rsidRPr="003B78F1" w:rsidRDefault="00C1513D" w:rsidP="003B78F1">
            <w:pPr>
              <w:jc w:val="center"/>
              <w:textAlignment w:val="baseline"/>
              <w:rPr>
                <w:rFonts w:ascii="Arial" w:hAnsi="Arial" w:cs="Arial"/>
                <w:sz w:val="20"/>
                <w:szCs w:val="20"/>
              </w:rPr>
            </w:pPr>
            <w:r>
              <w:rPr>
                <w:rFonts w:ascii="Arial" w:hAnsi="Arial" w:cs="Arial"/>
                <w:sz w:val="20"/>
                <w:szCs w:val="20"/>
              </w:rPr>
              <w:t>0,75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17F" w:rsidRPr="003B78F1" w:rsidRDefault="00C1513D" w:rsidP="003B78F1">
            <w:pPr>
              <w:jc w:val="center"/>
              <w:textAlignment w:val="baseline"/>
              <w:rPr>
                <w:rFonts w:ascii="Arial" w:hAnsi="Arial" w:cs="Arial"/>
                <w:sz w:val="20"/>
                <w:szCs w:val="20"/>
              </w:rPr>
            </w:pPr>
            <w:r>
              <w:rPr>
                <w:rFonts w:ascii="Arial" w:hAnsi="Arial" w:cs="Arial"/>
                <w:sz w:val="20"/>
                <w:szCs w:val="20"/>
              </w:rPr>
              <w:t>0,225</w:t>
            </w:r>
          </w:p>
        </w:tc>
      </w:tr>
      <w:tr w:rsidR="005C517F" w:rsidRPr="00AD06CE" w:rsidTr="006176C9">
        <w:tc>
          <w:tcPr>
            <w:tcW w:w="1678" w:type="pct"/>
            <w:tcBorders>
              <w:top w:val="single" w:sz="4" w:space="0" w:color="auto"/>
              <w:left w:val="single" w:sz="4" w:space="0" w:color="auto"/>
              <w:bottom w:val="single" w:sz="4" w:space="0" w:color="auto"/>
              <w:right w:val="single" w:sz="4" w:space="0" w:color="auto"/>
            </w:tcBorders>
            <w:vAlign w:val="center"/>
            <w:hideMark/>
          </w:tcPr>
          <w:p w:rsidR="005C517F" w:rsidRDefault="005C517F" w:rsidP="008740FC">
            <w:pPr>
              <w:jc w:val="center"/>
              <w:textAlignment w:val="baseline"/>
              <w:rPr>
                <w:rFonts w:ascii="Arial" w:hAnsi="Arial" w:cs="Arial"/>
                <w:sz w:val="20"/>
                <w:szCs w:val="20"/>
              </w:rPr>
            </w:pPr>
            <w:r w:rsidRPr="00AD06CE">
              <w:rPr>
                <w:rFonts w:ascii="Arial" w:hAnsi="Arial" w:cs="Arial"/>
                <w:sz w:val="20"/>
                <w:szCs w:val="20"/>
              </w:rPr>
              <w:t xml:space="preserve">Flux admissible </w:t>
            </w:r>
          </w:p>
          <w:p w:rsidR="005C517F" w:rsidRPr="00AD06CE" w:rsidRDefault="005C517F" w:rsidP="00C1513D">
            <w:pPr>
              <w:jc w:val="center"/>
              <w:textAlignment w:val="baseline"/>
              <w:rPr>
                <w:rFonts w:ascii="Arial" w:hAnsi="Arial" w:cs="Arial"/>
                <w:sz w:val="20"/>
                <w:szCs w:val="20"/>
              </w:rPr>
            </w:pPr>
            <w:r w:rsidRPr="00AD06CE">
              <w:rPr>
                <w:rFonts w:ascii="Arial" w:hAnsi="Arial" w:cs="Arial"/>
                <w:sz w:val="20"/>
                <w:szCs w:val="20"/>
              </w:rPr>
              <w:t xml:space="preserve">(NQE * </w:t>
            </w:r>
            <w:r w:rsidR="00C1513D">
              <w:rPr>
                <w:rFonts w:ascii="Arial" w:hAnsi="Arial" w:cs="Arial"/>
                <w:sz w:val="20"/>
                <w:szCs w:val="20"/>
              </w:rPr>
              <w:t>(</w:t>
            </w:r>
            <w:proofErr w:type="spellStart"/>
            <w:r w:rsidR="00C1513D">
              <w:rPr>
                <w:rFonts w:ascii="Arial" w:hAnsi="Arial" w:cs="Arial"/>
                <w:sz w:val="20"/>
                <w:szCs w:val="20"/>
              </w:rPr>
              <w:t>Q</w:t>
            </w:r>
            <w:r w:rsidR="00C1513D">
              <w:rPr>
                <w:rFonts w:ascii="Arial" w:hAnsi="Arial" w:cs="Arial"/>
                <w:sz w:val="20"/>
                <w:szCs w:val="20"/>
                <w:vertAlign w:val="subscript"/>
              </w:rPr>
              <w:t>aval</w:t>
            </w:r>
            <w:proofErr w:type="spellEnd"/>
            <w:r w:rsidR="00C1513D">
              <w:rPr>
                <w:rFonts w:ascii="Arial" w:hAnsi="Arial" w:cs="Arial"/>
                <w:sz w:val="20"/>
                <w:szCs w:val="20"/>
              </w:rPr>
              <w:t xml:space="preserve"> + </w:t>
            </w:r>
            <w:proofErr w:type="spellStart"/>
            <w:r>
              <w:rPr>
                <w:rFonts w:ascii="Arial" w:hAnsi="Arial" w:cs="Arial"/>
                <w:sz w:val="20"/>
                <w:szCs w:val="20"/>
              </w:rPr>
              <w:t>Q</w:t>
            </w:r>
            <w:r>
              <w:rPr>
                <w:rFonts w:ascii="Arial" w:hAnsi="Arial" w:cs="Arial"/>
                <w:sz w:val="20"/>
                <w:szCs w:val="20"/>
                <w:vertAlign w:val="subscript"/>
              </w:rPr>
              <w:t>contributeur</w:t>
            </w:r>
            <w:proofErr w:type="spellEnd"/>
            <w:r>
              <w:rPr>
                <w:rFonts w:ascii="Arial" w:hAnsi="Arial" w:cs="Arial"/>
                <w:sz w:val="20"/>
                <w:szCs w:val="20"/>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kg/j</w:t>
            </w:r>
          </w:p>
        </w:tc>
        <w:tc>
          <w:tcPr>
            <w:tcW w:w="652"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C1513D" w:rsidP="006176C9">
            <w:pPr>
              <w:jc w:val="center"/>
              <w:textAlignment w:val="baseline"/>
              <w:rPr>
                <w:rFonts w:ascii="Arial" w:hAnsi="Arial" w:cs="Arial"/>
                <w:sz w:val="20"/>
                <w:szCs w:val="20"/>
              </w:rPr>
            </w:pPr>
            <w:r>
              <w:rPr>
                <w:rFonts w:ascii="Arial" w:hAnsi="Arial" w:cs="Arial"/>
                <w:sz w:val="20"/>
                <w:szCs w:val="20"/>
              </w:rPr>
              <w:t xml:space="preserve">2 </w:t>
            </w:r>
            <w:r w:rsidR="006176C9">
              <w:rPr>
                <w:rFonts w:ascii="Arial" w:hAnsi="Arial" w:cs="Arial"/>
                <w:sz w:val="20"/>
                <w:szCs w:val="20"/>
              </w:rPr>
              <w:t>074</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6176C9" w:rsidP="003B78F1">
            <w:pPr>
              <w:jc w:val="center"/>
              <w:textAlignment w:val="baseline"/>
              <w:rPr>
                <w:rFonts w:ascii="Arial" w:hAnsi="Arial" w:cs="Arial"/>
                <w:sz w:val="20"/>
                <w:szCs w:val="20"/>
              </w:rPr>
            </w:pPr>
            <w:r>
              <w:rPr>
                <w:rFonts w:ascii="Arial" w:hAnsi="Arial" w:cs="Arial"/>
                <w:sz w:val="20"/>
                <w:szCs w:val="20"/>
              </w:rPr>
              <w:t>10 370</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6176C9">
            <w:pPr>
              <w:jc w:val="center"/>
              <w:textAlignment w:val="baseline"/>
              <w:rPr>
                <w:rFonts w:ascii="Arial" w:hAnsi="Arial" w:cs="Arial"/>
                <w:sz w:val="20"/>
                <w:szCs w:val="20"/>
              </w:rPr>
            </w:pPr>
            <w:r>
              <w:rPr>
                <w:rFonts w:ascii="Arial" w:hAnsi="Arial" w:cs="Arial"/>
                <w:sz w:val="20"/>
                <w:szCs w:val="20"/>
              </w:rPr>
              <w:t>17 283</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6176C9">
            <w:pPr>
              <w:jc w:val="center"/>
              <w:textAlignment w:val="baseline"/>
              <w:rPr>
                <w:rFonts w:ascii="Arial" w:hAnsi="Arial" w:cs="Arial"/>
                <w:sz w:val="20"/>
                <w:szCs w:val="20"/>
              </w:rPr>
            </w:pPr>
            <w:r>
              <w:rPr>
                <w:rFonts w:ascii="Arial" w:hAnsi="Arial" w:cs="Arial"/>
                <w:sz w:val="20"/>
                <w:szCs w:val="20"/>
              </w:rPr>
              <w:t>/</w:t>
            </w:r>
          </w:p>
        </w:tc>
      </w:tr>
      <w:tr w:rsidR="005C517F" w:rsidRPr="00AD06CE" w:rsidTr="006176C9">
        <w:tc>
          <w:tcPr>
            <w:tcW w:w="1678"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Flux max rejeté / Flux admissible</w:t>
            </w:r>
          </w:p>
        </w:tc>
        <w:tc>
          <w:tcPr>
            <w:tcW w:w="521" w:type="pct"/>
            <w:tcBorders>
              <w:top w:val="single" w:sz="4" w:space="0" w:color="auto"/>
              <w:left w:val="single" w:sz="4" w:space="0" w:color="auto"/>
              <w:bottom w:val="single" w:sz="4" w:space="0" w:color="auto"/>
              <w:right w:val="single" w:sz="4" w:space="0" w:color="auto"/>
            </w:tcBorders>
            <w:vAlign w:val="center"/>
            <w:hideMark/>
          </w:tcPr>
          <w:p w:rsidR="005C517F" w:rsidRPr="00AD06CE" w:rsidRDefault="005C517F">
            <w:pPr>
              <w:jc w:val="center"/>
              <w:textAlignment w:val="baseline"/>
              <w:rPr>
                <w:rFonts w:ascii="Arial" w:hAnsi="Arial" w:cs="Arial"/>
                <w:sz w:val="20"/>
                <w:szCs w:val="20"/>
              </w:rPr>
            </w:pPr>
            <w:r w:rsidRPr="00AD06CE">
              <w:rPr>
                <w:rFonts w:ascii="Arial" w:hAnsi="Arial" w:cs="Arial"/>
                <w:sz w:val="20"/>
                <w:szCs w:val="20"/>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6176C9" w:rsidP="0079367E">
            <w:pPr>
              <w:jc w:val="center"/>
              <w:textAlignment w:val="baseline"/>
              <w:rPr>
                <w:rFonts w:ascii="Arial" w:hAnsi="Arial" w:cs="Arial"/>
                <w:sz w:val="20"/>
                <w:szCs w:val="20"/>
              </w:rPr>
            </w:pPr>
            <w:r>
              <w:rPr>
                <w:rFonts w:ascii="Arial" w:hAnsi="Arial" w:cs="Arial"/>
                <w:sz w:val="20"/>
                <w:szCs w:val="20"/>
              </w:rPr>
              <w:t>0,02</w:t>
            </w:r>
            <w:r w:rsidR="005C517F" w:rsidRPr="003B78F1">
              <w:rPr>
                <w:rFonts w:ascii="Arial" w:hAnsi="Arial" w:cs="Arial"/>
                <w:sz w:val="20"/>
                <w:szCs w:val="20"/>
              </w:rPr>
              <w:t xml:space="preserve"> %</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5C517F" w:rsidP="0079367E">
            <w:pPr>
              <w:jc w:val="center"/>
              <w:textAlignment w:val="baseline"/>
              <w:rPr>
                <w:rFonts w:ascii="Arial" w:hAnsi="Arial" w:cs="Arial"/>
                <w:sz w:val="20"/>
                <w:szCs w:val="20"/>
              </w:rPr>
            </w:pPr>
            <w:r w:rsidRPr="003B78F1">
              <w:rPr>
                <w:rFonts w:ascii="Arial" w:hAnsi="Arial" w:cs="Arial"/>
                <w:sz w:val="20"/>
                <w:szCs w:val="20"/>
              </w:rPr>
              <w:t>0,</w:t>
            </w:r>
            <w:r w:rsidR="006176C9">
              <w:rPr>
                <w:rFonts w:ascii="Arial" w:hAnsi="Arial" w:cs="Arial"/>
                <w:sz w:val="20"/>
                <w:szCs w:val="20"/>
              </w:rPr>
              <w:t>04</w:t>
            </w:r>
            <w:r w:rsidRPr="003B78F1">
              <w:rPr>
                <w:rFonts w:ascii="Arial" w:hAnsi="Arial" w:cs="Arial"/>
                <w:sz w:val="20"/>
                <w:szCs w:val="20"/>
              </w:rPr>
              <w:t xml:space="preserve"> %</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5C517F" w:rsidP="006176C9">
            <w:pPr>
              <w:jc w:val="center"/>
              <w:textAlignment w:val="baseline"/>
              <w:rPr>
                <w:rFonts w:ascii="Arial" w:hAnsi="Arial" w:cs="Arial"/>
                <w:sz w:val="20"/>
                <w:szCs w:val="20"/>
              </w:rPr>
            </w:pPr>
            <w:r>
              <w:rPr>
                <w:rFonts w:ascii="Arial" w:hAnsi="Arial" w:cs="Arial"/>
                <w:sz w:val="20"/>
                <w:szCs w:val="20"/>
              </w:rPr>
              <w:t>0,0</w:t>
            </w:r>
            <w:r w:rsidR="006176C9">
              <w:rPr>
                <w:rFonts w:ascii="Arial" w:hAnsi="Arial" w:cs="Arial"/>
                <w:sz w:val="20"/>
                <w:szCs w:val="20"/>
              </w:rPr>
              <w:t>04</w:t>
            </w:r>
            <w:r w:rsidRPr="003B78F1">
              <w:rPr>
                <w:rFonts w:ascii="Arial" w:hAnsi="Arial" w:cs="Arial"/>
                <w:sz w:val="20"/>
                <w:szCs w:val="20"/>
              </w:rPr>
              <w:t xml:space="preserve"> %</w:t>
            </w:r>
          </w:p>
        </w:tc>
        <w:tc>
          <w:tcPr>
            <w:tcW w:w="716" w:type="pct"/>
            <w:tcBorders>
              <w:top w:val="single" w:sz="4" w:space="0" w:color="auto"/>
              <w:left w:val="single" w:sz="4" w:space="0" w:color="auto"/>
              <w:bottom w:val="single" w:sz="4" w:space="0" w:color="auto"/>
              <w:right w:val="single" w:sz="4" w:space="0" w:color="auto"/>
            </w:tcBorders>
            <w:vAlign w:val="center"/>
            <w:hideMark/>
          </w:tcPr>
          <w:p w:rsidR="005C517F" w:rsidRPr="003B78F1" w:rsidRDefault="006176C9" w:rsidP="0079367E">
            <w:pPr>
              <w:jc w:val="center"/>
              <w:textAlignment w:val="baseline"/>
              <w:rPr>
                <w:rFonts w:ascii="Arial" w:hAnsi="Arial" w:cs="Arial"/>
                <w:sz w:val="20"/>
                <w:szCs w:val="20"/>
              </w:rPr>
            </w:pPr>
            <w:r>
              <w:rPr>
                <w:rFonts w:ascii="Arial" w:hAnsi="Arial" w:cs="Arial"/>
                <w:sz w:val="20"/>
                <w:szCs w:val="20"/>
              </w:rPr>
              <w:t>/</w:t>
            </w:r>
          </w:p>
        </w:tc>
      </w:tr>
    </w:tbl>
    <w:p w:rsidR="00AD06CE" w:rsidRPr="00576784" w:rsidRDefault="00AD06CE" w:rsidP="00576784">
      <w:pPr>
        <w:sectPr w:rsidR="00AD06CE" w:rsidRPr="00576784" w:rsidSect="00576784">
          <w:footerReference w:type="default" r:id="rId12"/>
          <w:pgSz w:w="16838" w:h="11906" w:orient="landscape"/>
          <w:pgMar w:top="1417" w:right="1417" w:bottom="1417" w:left="1417" w:header="708" w:footer="708" w:gutter="0"/>
          <w:cols w:space="708"/>
          <w:docGrid w:linePitch="360"/>
        </w:sectPr>
      </w:pPr>
    </w:p>
    <w:p w:rsidR="00576784" w:rsidRDefault="00576784" w:rsidP="00576784">
      <w:pPr>
        <w:pStyle w:val="Titre1"/>
      </w:pPr>
      <w:r>
        <w:lastRenderedPageBreak/>
        <w:t>Conclusio</w:t>
      </w:r>
      <w:r w:rsidR="003505F3">
        <w:t>ns</w:t>
      </w:r>
    </w:p>
    <w:p w:rsidR="006176C9" w:rsidRPr="003D4F14" w:rsidRDefault="006176C9" w:rsidP="006176C9">
      <w:pPr>
        <w:spacing w:line="276" w:lineRule="auto"/>
        <w:jc w:val="both"/>
        <w:rPr>
          <w:rFonts w:ascii="Arial" w:hAnsi="Arial" w:cs="Arial"/>
        </w:rPr>
      </w:pPr>
      <w:r>
        <w:rPr>
          <w:rFonts w:ascii="Arial" w:hAnsi="Arial" w:cs="Arial"/>
        </w:rPr>
        <w:t>L’installation du nouveau four et surtout l’augmentation de la capacité de production va engendrer une augmentation des flux de polluants rejetés. C</w:t>
      </w:r>
      <w:r w:rsidRPr="003D4F14">
        <w:rPr>
          <w:rFonts w:ascii="Arial" w:hAnsi="Arial" w:cs="Arial"/>
        </w:rPr>
        <w:t>onsidérant que les débits consommés et rejetés sont proportionnés au tonnage tiré, les concentrations en polluant rejetés demeureront stable</w:t>
      </w:r>
      <w:r>
        <w:rPr>
          <w:rFonts w:ascii="Arial" w:hAnsi="Arial" w:cs="Arial"/>
        </w:rPr>
        <w:t>s après mise en œuvre du projet, en revanche, pur un volume rejeté augmenté de 25 %, les flux journaliers par polluant se verront également augmentés de 25 %.</w:t>
      </w:r>
    </w:p>
    <w:p w:rsidR="0051027B" w:rsidRPr="006176C9" w:rsidRDefault="0051027B" w:rsidP="0051027B">
      <w:pPr>
        <w:spacing w:line="276" w:lineRule="auto"/>
        <w:jc w:val="both"/>
        <w:rPr>
          <w:rFonts w:ascii="Arial" w:hAnsi="Arial" w:cs="Arial"/>
        </w:rPr>
      </w:pPr>
      <w:r w:rsidRPr="006176C9">
        <w:rPr>
          <w:rFonts w:ascii="Arial" w:hAnsi="Arial" w:cs="Arial"/>
        </w:rPr>
        <w:t xml:space="preserve">Le débit journalier </w:t>
      </w:r>
      <w:r w:rsidR="006176C9" w:rsidRPr="006176C9">
        <w:rPr>
          <w:rFonts w:ascii="Arial" w:hAnsi="Arial" w:cs="Arial"/>
        </w:rPr>
        <w:t xml:space="preserve">prévisionnel </w:t>
      </w:r>
      <w:r w:rsidRPr="006176C9">
        <w:rPr>
          <w:rFonts w:ascii="Arial" w:hAnsi="Arial" w:cs="Arial"/>
        </w:rPr>
        <w:t>du site</w:t>
      </w:r>
      <w:r w:rsidR="006176C9" w:rsidRPr="006176C9">
        <w:rPr>
          <w:rFonts w:ascii="Arial" w:hAnsi="Arial" w:cs="Arial"/>
        </w:rPr>
        <w:t xml:space="preserve"> suite à la mise en place du nouveau four</w:t>
      </w:r>
      <w:r w:rsidRPr="006176C9">
        <w:rPr>
          <w:rFonts w:ascii="Arial" w:hAnsi="Arial" w:cs="Arial"/>
        </w:rPr>
        <w:t xml:space="preserve"> a été estimé à environ </w:t>
      </w:r>
      <w:r w:rsidR="006176C9" w:rsidRPr="006176C9">
        <w:rPr>
          <w:rFonts w:ascii="Arial" w:hAnsi="Arial" w:cs="Arial"/>
        </w:rPr>
        <w:t>75</w:t>
      </w:r>
      <w:r w:rsidRPr="006176C9">
        <w:rPr>
          <w:rFonts w:ascii="Arial" w:hAnsi="Arial" w:cs="Arial"/>
        </w:rPr>
        <w:t xml:space="preserve"> m</w:t>
      </w:r>
      <w:r w:rsidRPr="006176C9">
        <w:rPr>
          <w:rFonts w:ascii="Arial" w:hAnsi="Arial" w:cs="Arial"/>
          <w:vertAlign w:val="superscript"/>
        </w:rPr>
        <w:t>3</w:t>
      </w:r>
      <w:r w:rsidR="006176C9" w:rsidRPr="006176C9">
        <w:rPr>
          <w:rFonts w:ascii="Arial" w:hAnsi="Arial" w:cs="Arial"/>
        </w:rPr>
        <w:t>/j.</w:t>
      </w:r>
    </w:p>
    <w:p w:rsidR="0051027B" w:rsidRPr="006176C9" w:rsidRDefault="0051027B" w:rsidP="0051027B">
      <w:pPr>
        <w:jc w:val="both"/>
        <w:rPr>
          <w:rFonts w:ascii="Arial" w:hAnsi="Arial" w:cs="Arial"/>
        </w:rPr>
      </w:pPr>
      <w:r w:rsidRPr="006176C9">
        <w:rPr>
          <w:rFonts w:ascii="Arial" w:hAnsi="Arial" w:cs="Arial"/>
        </w:rPr>
        <w:t>L’annexe 4 du « guide technique relatif  aux modalités de prise en compte des objectifs de la directive cadre sur l’eau (DCE) en police de l’eau IOTA/ICPE (version 2) » présente la méthodologie afin de vérifier la compatibilité des rejets en micropolluants avec les objectifs d’état.</w:t>
      </w:r>
    </w:p>
    <w:p w:rsidR="0051027B" w:rsidRPr="006176C9" w:rsidRDefault="0051027B" w:rsidP="0051027B">
      <w:pPr>
        <w:jc w:val="both"/>
        <w:rPr>
          <w:rFonts w:ascii="Arial" w:hAnsi="Arial" w:cs="Arial"/>
        </w:rPr>
      </w:pPr>
      <w:r w:rsidRPr="006176C9">
        <w:rPr>
          <w:rFonts w:ascii="Arial" w:hAnsi="Arial" w:cs="Arial"/>
        </w:rPr>
        <w:t xml:space="preserve">Tout d’abord, l’admissibilité du flux du site a été démontrée. Pour les polluants étudiés </w:t>
      </w:r>
      <w:r w:rsidR="006176C9" w:rsidRPr="006176C9">
        <w:rPr>
          <w:rFonts w:ascii="Arial" w:hAnsi="Arial" w:cs="Arial"/>
        </w:rPr>
        <w:t xml:space="preserve">(DBO5, DCO, MES, azote </w:t>
      </w:r>
      <w:proofErr w:type="spellStart"/>
      <w:r w:rsidR="006176C9" w:rsidRPr="006176C9">
        <w:rPr>
          <w:rFonts w:ascii="Arial" w:hAnsi="Arial" w:cs="Arial"/>
        </w:rPr>
        <w:t>kjeldahl</w:t>
      </w:r>
      <w:proofErr w:type="spellEnd"/>
      <w:r w:rsidRPr="006176C9">
        <w:rPr>
          <w:rFonts w:ascii="Arial" w:hAnsi="Arial" w:cs="Arial"/>
        </w:rPr>
        <w:t xml:space="preserve">), les flux maximums de rejets calculés sont tous très inférieurs aux flux admissible. </w:t>
      </w:r>
    </w:p>
    <w:p w:rsidR="006176C9" w:rsidRPr="006176C9" w:rsidRDefault="0051027B" w:rsidP="0051027B">
      <w:pPr>
        <w:jc w:val="both"/>
        <w:rPr>
          <w:rFonts w:ascii="Arial" w:hAnsi="Arial" w:cs="Arial"/>
        </w:rPr>
      </w:pPr>
      <w:r w:rsidRPr="006176C9">
        <w:rPr>
          <w:rFonts w:ascii="Arial" w:hAnsi="Arial" w:cs="Arial"/>
        </w:rPr>
        <w:t xml:space="preserve">Dans un second temps, la concentration en aval théorique de chaque polluant </w:t>
      </w:r>
      <w:r w:rsidR="006176C9" w:rsidRPr="006176C9">
        <w:rPr>
          <w:rFonts w:ascii="Arial" w:hAnsi="Arial" w:cs="Arial"/>
        </w:rPr>
        <w:t>aurait dû être</w:t>
      </w:r>
      <w:r w:rsidRPr="006176C9">
        <w:rPr>
          <w:rFonts w:ascii="Arial" w:hAnsi="Arial" w:cs="Arial"/>
        </w:rPr>
        <w:t xml:space="preserve"> calculée afin de la comparer aux valeurs de NQE correspondant aux seuils de bon état écologique. </w:t>
      </w:r>
      <w:r w:rsidR="006176C9" w:rsidRPr="006176C9">
        <w:rPr>
          <w:rFonts w:ascii="Arial" w:hAnsi="Arial" w:cs="Arial"/>
        </w:rPr>
        <w:t>Cette étape n’a pu être réalisée en raison de l’absence de station de surveillance fournissant des valeurs de qualité de l’eau en amont des rejets du site.</w:t>
      </w:r>
    </w:p>
    <w:p w:rsidR="0051027B" w:rsidRPr="0051027B" w:rsidRDefault="0051027B" w:rsidP="0051027B"/>
    <w:sectPr w:rsidR="0051027B" w:rsidRPr="0051027B" w:rsidSect="00DC6706">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7D" w:rsidRDefault="009C357D" w:rsidP="00AD06CE">
      <w:pPr>
        <w:spacing w:after="0" w:line="240" w:lineRule="auto"/>
      </w:pPr>
      <w:r>
        <w:separator/>
      </w:r>
    </w:p>
  </w:endnote>
  <w:endnote w:type="continuationSeparator" w:id="0">
    <w:p w:rsidR="009C357D" w:rsidRDefault="009C357D" w:rsidP="00A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42" w:rsidRDefault="00D13942">
    <w:pPr>
      <w:pStyle w:val="Pieddepage"/>
    </w:pPr>
    <w:r>
      <w:rPr>
        <w:noProof/>
        <w:lang w:eastAsia="fr-FR"/>
      </w:rPr>
      <w:drawing>
        <wp:anchor distT="0" distB="0" distL="114300" distR="114300" simplePos="0" relativeHeight="251658240" behindDoc="0" locked="0" layoutInCell="1" allowOverlap="1">
          <wp:simplePos x="0" y="0"/>
          <wp:positionH relativeFrom="column">
            <wp:posOffset>2195830</wp:posOffset>
          </wp:positionH>
          <wp:positionV relativeFrom="paragraph">
            <wp:posOffset>-118110</wp:posOffset>
          </wp:positionV>
          <wp:extent cx="1419225" cy="685800"/>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
                  <a:stretch>
                    <a:fillRect/>
                  </a:stretch>
                </pic:blipFill>
                <pic:spPr>
                  <a:xfrm>
                    <a:off x="0" y="0"/>
                    <a:ext cx="1419225" cy="6858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12" w:rsidRDefault="00744312">
    <w:pPr>
      <w:pStyle w:val="Pieddepage"/>
    </w:pPr>
    <w:r>
      <w:rPr>
        <w:noProof/>
        <w:lang w:eastAsia="fr-FR"/>
      </w:rPr>
      <w:drawing>
        <wp:anchor distT="0" distB="0" distL="114300" distR="114300" simplePos="0" relativeHeight="251660288" behindDoc="0" locked="0" layoutInCell="1" allowOverlap="1">
          <wp:simplePos x="0" y="0"/>
          <wp:positionH relativeFrom="column">
            <wp:posOffset>3748405</wp:posOffset>
          </wp:positionH>
          <wp:positionV relativeFrom="paragraph">
            <wp:posOffset>-72390</wp:posOffset>
          </wp:positionV>
          <wp:extent cx="1419225" cy="685800"/>
          <wp:effectExtent l="19050" t="0" r="952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
                  <a:stretch>
                    <a:fillRect/>
                  </a:stretch>
                </pic:blipFill>
                <pic:spPr>
                  <a:xfrm>
                    <a:off x="0" y="0"/>
                    <a:ext cx="1419225" cy="6858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12" w:rsidRDefault="00744312">
    <w:pPr>
      <w:pStyle w:val="Pieddepage"/>
    </w:pPr>
    <w:r>
      <w:rPr>
        <w:noProof/>
        <w:lang w:eastAsia="fr-FR"/>
      </w:rPr>
      <w:drawing>
        <wp:anchor distT="0" distB="0" distL="114300" distR="114300" simplePos="0" relativeHeight="251662336" behindDoc="0" locked="0" layoutInCell="1" allowOverlap="1">
          <wp:simplePos x="0" y="0"/>
          <wp:positionH relativeFrom="column">
            <wp:posOffset>2176780</wp:posOffset>
          </wp:positionH>
          <wp:positionV relativeFrom="paragraph">
            <wp:posOffset>-70485</wp:posOffset>
          </wp:positionV>
          <wp:extent cx="1419225" cy="685800"/>
          <wp:effectExtent l="19050" t="0" r="9525"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
                  <a:stretch>
                    <a:fillRect/>
                  </a:stretch>
                </pic:blipFill>
                <pic:spPr>
                  <a:xfrm>
                    <a:off x="0" y="0"/>
                    <a:ext cx="1419225" cy="685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7D" w:rsidRDefault="009C357D" w:rsidP="00AD06CE">
      <w:pPr>
        <w:spacing w:after="0" w:line="240" w:lineRule="auto"/>
      </w:pPr>
      <w:r>
        <w:separator/>
      </w:r>
    </w:p>
  </w:footnote>
  <w:footnote w:type="continuationSeparator" w:id="0">
    <w:p w:rsidR="009C357D" w:rsidRDefault="009C357D" w:rsidP="00AD06CE">
      <w:pPr>
        <w:spacing w:after="0" w:line="240" w:lineRule="auto"/>
      </w:pPr>
      <w:r>
        <w:continuationSeparator/>
      </w:r>
    </w:p>
  </w:footnote>
  <w:footnote w:id="1">
    <w:p w:rsidR="00D13942" w:rsidRDefault="00D13942" w:rsidP="004C48D4">
      <w:pPr>
        <w:pStyle w:val="Notedebasdepage"/>
        <w:rPr>
          <w:rFonts w:cs="Times New Roman"/>
          <w:sz w:val="16"/>
          <w:szCs w:val="18"/>
        </w:rPr>
      </w:pPr>
      <w:r>
        <w:rPr>
          <w:rStyle w:val="Appelnotedebasdep"/>
          <w:sz w:val="16"/>
          <w:szCs w:val="18"/>
        </w:rPr>
        <w:footnoteRef/>
      </w:r>
      <w:r>
        <w:rPr>
          <w:sz w:val="16"/>
          <w:szCs w:val="18"/>
        </w:rPr>
        <w:t xml:space="preserve"> Les indicateurs, valeurs seuils et modalités de calcul de l’état des éléments de qualité biologiques, physico-chimiques et </w:t>
      </w:r>
      <w:proofErr w:type="spellStart"/>
      <w:r>
        <w:rPr>
          <w:sz w:val="16"/>
          <w:szCs w:val="18"/>
        </w:rPr>
        <w:t>hydromorphologiques</w:t>
      </w:r>
      <w:proofErr w:type="spellEnd"/>
      <w:r>
        <w:rPr>
          <w:sz w:val="16"/>
          <w:szCs w:val="18"/>
        </w:rPr>
        <w:t xml:space="preserve"> sont détaillés à l’annexe 3 de l’arrêté du 25 janvier 2010 modifié.</w:t>
      </w:r>
    </w:p>
  </w:footnote>
  <w:footnote w:id="2">
    <w:p w:rsidR="00D13942" w:rsidRDefault="00D13942" w:rsidP="004503C7">
      <w:r>
        <w:rPr>
          <w:rStyle w:val="Appelnotedebasdep"/>
        </w:rPr>
        <w:footnoteRef/>
      </w:r>
      <w:r>
        <w:t xml:space="preserve"> </w:t>
      </w:r>
      <w:r w:rsidRPr="004503C7">
        <w:rPr>
          <w:rFonts w:ascii="Arial" w:eastAsia="Times New Roman" w:hAnsi="Arial" w:cs="Arial"/>
          <w:sz w:val="20"/>
          <w:szCs w:val="20"/>
          <w:lang w:eastAsia="fr-FR"/>
        </w:rPr>
        <w:t>Il ne s’agit pas de QMNA5 mais d’une valeur de débit estimée à partir du débit de navigation et fuites aux écluses.</w:t>
      </w:r>
      <w:r>
        <w:rPr>
          <w:rFonts w:ascii="Arial" w:eastAsia="Times New Roman" w:hAnsi="Arial" w:cs="Arial"/>
          <w:sz w:val="20"/>
          <w:szCs w:val="20"/>
          <w:lang w:eastAsia="fr-FR"/>
        </w:rPr>
        <w:t xml:space="preserve"> Le cours d’eau n’est pas naturel sur la partie canalisée, la mesure du QMNA5 n’a donc que peu d’intérêt.</w:t>
      </w:r>
    </w:p>
  </w:footnote>
  <w:footnote w:id="3">
    <w:p w:rsidR="00D13942" w:rsidRDefault="00D13942" w:rsidP="00A4129D">
      <w:pPr>
        <w:pStyle w:val="Notedebasdepage"/>
        <w:jc w:val="both"/>
      </w:pPr>
      <w:r w:rsidRPr="00A4129D">
        <w:rPr>
          <w:rStyle w:val="Appelnotedebasdep"/>
          <w:sz w:val="20"/>
        </w:rPr>
        <w:footnoteRef/>
      </w:r>
      <w:r w:rsidRPr="00A4129D">
        <w:rPr>
          <w:sz w:val="20"/>
        </w:rPr>
        <w:t xml:space="preserve"> NQE complémentaires fournies dans le guide technique relatif  aux modalités de prise en compte des objectifs de la directive cadre sur l’eau (DCE) en police de l’eau IOTA/ICPE (version 2, décembre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2D4"/>
    <w:multiLevelType w:val="multilevel"/>
    <w:tmpl w:val="3D901FE8"/>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20" w:hanging="360"/>
      </w:pPr>
      <w:rPr>
        <w:rFonts w:hint="default"/>
      </w:rPr>
    </w:lvl>
    <w:lvl w:ilvl="2">
      <w:start w:val="1"/>
      <w:numFmt w:val="decimal"/>
      <w:lvlRestart w:val="1"/>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8714EB"/>
    <w:multiLevelType w:val="hybridMultilevel"/>
    <w:tmpl w:val="5D08738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CBD5C89"/>
    <w:multiLevelType w:val="multilevel"/>
    <w:tmpl w:val="9BE4EF1C"/>
    <w:lvl w:ilvl="0">
      <w:start w:val="1"/>
      <w:numFmt w:val="decimal"/>
      <w:pStyle w:val="Style1"/>
      <w:lvlText w:val="%1."/>
      <w:lvlJc w:val="left"/>
      <w:pPr>
        <w:ind w:left="360" w:hanging="360"/>
      </w:pPr>
    </w:lvl>
    <w:lvl w:ilvl="1">
      <w:start w:val="1"/>
      <w:numFmt w:val="decimal"/>
      <w:pStyle w:val="Style2"/>
      <w:lvlText w:val="%1.%2."/>
      <w:lvlJc w:val="left"/>
      <w:pPr>
        <w:ind w:left="720" w:hanging="360"/>
      </w:pPr>
    </w:lvl>
    <w:lvl w:ilvl="2">
      <w:start w:val="1"/>
      <w:numFmt w:val="decimal"/>
      <w:pStyle w:val="Style3"/>
      <w:lvlText w:val="%1.%2.%3."/>
      <w:lvlJc w:val="left"/>
      <w:pPr>
        <w:ind w:left="1080" w:hanging="360"/>
      </w:pPr>
    </w:lvl>
    <w:lvl w:ilvl="3">
      <w:start w:val="1"/>
      <w:numFmt w:val="decimal"/>
      <w:lvlText w:val="%3.%2.%1.%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1B5C46"/>
    <w:multiLevelType w:val="hybridMultilevel"/>
    <w:tmpl w:val="BAD63CF4"/>
    <w:lvl w:ilvl="0" w:tplc="C2F492A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CF4585C"/>
    <w:multiLevelType w:val="hybridMultilevel"/>
    <w:tmpl w:val="18224382"/>
    <w:lvl w:ilvl="0" w:tplc="040C0001">
      <w:start w:val="1"/>
      <w:numFmt w:val="bullet"/>
      <w:lvlText w:val=""/>
      <w:lvlJc w:val="left"/>
      <w:pPr>
        <w:ind w:left="36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778F6"/>
    <w:rsid w:val="00025576"/>
    <w:rsid w:val="000603F2"/>
    <w:rsid w:val="00085E57"/>
    <w:rsid w:val="000A22A5"/>
    <w:rsid w:val="000D6E57"/>
    <w:rsid w:val="000D74C5"/>
    <w:rsid w:val="000E21E1"/>
    <w:rsid w:val="0017774E"/>
    <w:rsid w:val="00187351"/>
    <w:rsid w:val="00190463"/>
    <w:rsid w:val="001B2635"/>
    <w:rsid w:val="00216778"/>
    <w:rsid w:val="002665F5"/>
    <w:rsid w:val="002801B9"/>
    <w:rsid w:val="00280958"/>
    <w:rsid w:val="002F2ADD"/>
    <w:rsid w:val="00314D98"/>
    <w:rsid w:val="003310C5"/>
    <w:rsid w:val="0033670D"/>
    <w:rsid w:val="003505F3"/>
    <w:rsid w:val="0036421A"/>
    <w:rsid w:val="003A5AB2"/>
    <w:rsid w:val="003B78F1"/>
    <w:rsid w:val="003D1B42"/>
    <w:rsid w:val="003D2CD2"/>
    <w:rsid w:val="003D4F14"/>
    <w:rsid w:val="004018B8"/>
    <w:rsid w:val="004503C7"/>
    <w:rsid w:val="004644AF"/>
    <w:rsid w:val="004C48D4"/>
    <w:rsid w:val="00503623"/>
    <w:rsid w:val="0051027B"/>
    <w:rsid w:val="00565EE4"/>
    <w:rsid w:val="005726F6"/>
    <w:rsid w:val="00576784"/>
    <w:rsid w:val="00576952"/>
    <w:rsid w:val="005C517F"/>
    <w:rsid w:val="005C6606"/>
    <w:rsid w:val="005F42A0"/>
    <w:rsid w:val="006176C9"/>
    <w:rsid w:val="006418BF"/>
    <w:rsid w:val="006621E6"/>
    <w:rsid w:val="00677B69"/>
    <w:rsid w:val="00685A1A"/>
    <w:rsid w:val="00691A7B"/>
    <w:rsid w:val="006A11D6"/>
    <w:rsid w:val="006D6759"/>
    <w:rsid w:val="00744312"/>
    <w:rsid w:val="00757BD1"/>
    <w:rsid w:val="00763928"/>
    <w:rsid w:val="007778F6"/>
    <w:rsid w:val="00783A1F"/>
    <w:rsid w:val="0079367E"/>
    <w:rsid w:val="00796218"/>
    <w:rsid w:val="007D3401"/>
    <w:rsid w:val="008039D0"/>
    <w:rsid w:val="008067AA"/>
    <w:rsid w:val="00845CB2"/>
    <w:rsid w:val="008740FC"/>
    <w:rsid w:val="00875B62"/>
    <w:rsid w:val="008A603D"/>
    <w:rsid w:val="00911708"/>
    <w:rsid w:val="00961C81"/>
    <w:rsid w:val="009659FC"/>
    <w:rsid w:val="00971795"/>
    <w:rsid w:val="00972026"/>
    <w:rsid w:val="00994C95"/>
    <w:rsid w:val="009C357D"/>
    <w:rsid w:val="009D12CF"/>
    <w:rsid w:val="009E5054"/>
    <w:rsid w:val="00A4129D"/>
    <w:rsid w:val="00A53444"/>
    <w:rsid w:val="00AB627B"/>
    <w:rsid w:val="00AC13F7"/>
    <w:rsid w:val="00AD06CE"/>
    <w:rsid w:val="00AE396C"/>
    <w:rsid w:val="00AF0B75"/>
    <w:rsid w:val="00AF6467"/>
    <w:rsid w:val="00B12F45"/>
    <w:rsid w:val="00B62131"/>
    <w:rsid w:val="00B93C6F"/>
    <w:rsid w:val="00BB0BA7"/>
    <w:rsid w:val="00C015E4"/>
    <w:rsid w:val="00C041B2"/>
    <w:rsid w:val="00C13CA6"/>
    <w:rsid w:val="00C1513D"/>
    <w:rsid w:val="00C70317"/>
    <w:rsid w:val="00C84AE3"/>
    <w:rsid w:val="00C866F5"/>
    <w:rsid w:val="00C87116"/>
    <w:rsid w:val="00C930BC"/>
    <w:rsid w:val="00D13942"/>
    <w:rsid w:val="00D63C99"/>
    <w:rsid w:val="00D657F1"/>
    <w:rsid w:val="00D74A2B"/>
    <w:rsid w:val="00DB32A3"/>
    <w:rsid w:val="00DC6706"/>
    <w:rsid w:val="00DD7129"/>
    <w:rsid w:val="00E24435"/>
    <w:rsid w:val="00E43045"/>
    <w:rsid w:val="00E43548"/>
    <w:rsid w:val="00E554F6"/>
    <w:rsid w:val="00E86996"/>
    <w:rsid w:val="00EA6ECB"/>
    <w:rsid w:val="00EA750B"/>
    <w:rsid w:val="00EA7618"/>
    <w:rsid w:val="00EB02FA"/>
    <w:rsid w:val="00EF31B3"/>
    <w:rsid w:val="00F1246D"/>
    <w:rsid w:val="00F40E5A"/>
    <w:rsid w:val="00FB7BF4"/>
    <w:rsid w:val="00FC5137"/>
    <w:rsid w:val="00FE0A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2060"/>
    </o:shapedefaults>
    <o:shapelayout v:ext="edit">
      <o:idmap v:ext="edit" data="1"/>
      <o:rules v:ext="edit">
        <o:r id="V:Rule4" type="connector" idref="#_x0000_s1070"/>
        <o:r id="V:Rule5" type="connector" idref="#_x0000_s1071"/>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06"/>
  </w:style>
  <w:style w:type="paragraph" w:styleId="Titre1">
    <w:name w:val="heading 1"/>
    <w:basedOn w:val="Paragraphedeliste"/>
    <w:next w:val="Normal"/>
    <w:link w:val="Titre1Car"/>
    <w:uiPriority w:val="9"/>
    <w:qFormat/>
    <w:rsid w:val="00576784"/>
    <w:pPr>
      <w:numPr>
        <w:numId w:val="1"/>
      </w:numPr>
      <w:outlineLvl w:val="0"/>
    </w:pPr>
    <w:rPr>
      <w:rFonts w:ascii="Arial" w:hAnsi="Arial" w:cs="Arial"/>
      <w:b/>
      <w:sz w:val="36"/>
    </w:rPr>
  </w:style>
  <w:style w:type="paragraph" w:styleId="Titre2">
    <w:name w:val="heading 2"/>
    <w:basedOn w:val="Paragraphedeliste"/>
    <w:next w:val="Normal"/>
    <w:link w:val="Titre2Car"/>
    <w:uiPriority w:val="9"/>
    <w:unhideWhenUsed/>
    <w:qFormat/>
    <w:rsid w:val="00576784"/>
    <w:pPr>
      <w:numPr>
        <w:ilvl w:val="1"/>
        <w:numId w:val="1"/>
      </w:numPr>
      <w:outlineLvl w:val="1"/>
    </w:pPr>
    <w:rPr>
      <w:rFonts w:ascii="Arial" w:hAnsi="Arial" w:cs="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7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aragraphe de liste 1,List Paragraph"/>
    <w:basedOn w:val="Normal"/>
    <w:link w:val="ParagraphedelisteCar"/>
    <w:uiPriority w:val="34"/>
    <w:qFormat/>
    <w:rsid w:val="00576784"/>
    <w:pPr>
      <w:ind w:left="720"/>
      <w:contextualSpacing/>
    </w:pPr>
  </w:style>
  <w:style w:type="character" w:customStyle="1" w:styleId="Titre1Car">
    <w:name w:val="Titre 1 Car"/>
    <w:basedOn w:val="Policepardfaut"/>
    <w:link w:val="Titre1"/>
    <w:uiPriority w:val="9"/>
    <w:rsid w:val="00576784"/>
    <w:rPr>
      <w:rFonts w:ascii="Arial" w:hAnsi="Arial" w:cs="Arial"/>
      <w:b/>
      <w:sz w:val="36"/>
    </w:rPr>
  </w:style>
  <w:style w:type="character" w:customStyle="1" w:styleId="Titre2Car">
    <w:name w:val="Titre 2 Car"/>
    <w:basedOn w:val="Policepardfaut"/>
    <w:link w:val="Titre2"/>
    <w:uiPriority w:val="9"/>
    <w:rsid w:val="00576784"/>
    <w:rPr>
      <w:rFonts w:ascii="Arial" w:hAnsi="Arial" w:cs="Arial"/>
      <w:b/>
      <w:sz w:val="24"/>
      <w:u w:val="single"/>
    </w:rPr>
  </w:style>
  <w:style w:type="character" w:customStyle="1" w:styleId="ParagraphedelisteCar">
    <w:name w:val="Paragraphe de liste Car"/>
    <w:aliases w:val="Paragraphe de liste 1 Car,List Paragraph Car"/>
    <w:basedOn w:val="Policepardfaut"/>
    <w:link w:val="Paragraphedeliste"/>
    <w:uiPriority w:val="34"/>
    <w:locked/>
    <w:rsid w:val="00576784"/>
  </w:style>
  <w:style w:type="character" w:customStyle="1" w:styleId="Style1Car">
    <w:name w:val="Style1 Car"/>
    <w:basedOn w:val="Policepardfaut"/>
    <w:link w:val="Style1"/>
    <w:locked/>
    <w:rsid w:val="00576784"/>
    <w:rPr>
      <w:rFonts w:ascii="Arial" w:hAnsi="Arial" w:cs="Arial"/>
      <w:b/>
      <w:sz w:val="36"/>
    </w:rPr>
  </w:style>
  <w:style w:type="paragraph" w:customStyle="1" w:styleId="Style1">
    <w:name w:val="Style1"/>
    <w:basedOn w:val="Paragraphedeliste"/>
    <w:link w:val="Style1Car"/>
    <w:qFormat/>
    <w:rsid w:val="00576784"/>
    <w:pPr>
      <w:numPr>
        <w:numId w:val="4"/>
      </w:numPr>
      <w:spacing w:after="0" w:line="240" w:lineRule="auto"/>
    </w:pPr>
    <w:rPr>
      <w:rFonts w:ascii="Arial" w:hAnsi="Arial" w:cs="Arial"/>
      <w:b/>
      <w:sz w:val="36"/>
    </w:rPr>
  </w:style>
  <w:style w:type="paragraph" w:customStyle="1" w:styleId="Style2">
    <w:name w:val="Style2"/>
    <w:basedOn w:val="Style1"/>
    <w:qFormat/>
    <w:rsid w:val="00576784"/>
    <w:pPr>
      <w:numPr>
        <w:ilvl w:val="1"/>
      </w:numPr>
      <w:tabs>
        <w:tab w:val="num" w:pos="360"/>
      </w:tabs>
      <w:ind w:left="567" w:hanging="567"/>
    </w:pPr>
    <w:rPr>
      <w:sz w:val="24"/>
      <w:u w:val="single"/>
    </w:rPr>
  </w:style>
  <w:style w:type="paragraph" w:customStyle="1" w:styleId="Style3">
    <w:name w:val="Style3"/>
    <w:basedOn w:val="Style1"/>
    <w:qFormat/>
    <w:rsid w:val="00576784"/>
    <w:pPr>
      <w:numPr>
        <w:ilvl w:val="2"/>
      </w:numPr>
      <w:tabs>
        <w:tab w:val="num" w:pos="360"/>
      </w:tabs>
      <w:ind w:left="567" w:hanging="567"/>
    </w:pPr>
    <w:rPr>
      <w:sz w:val="22"/>
    </w:rPr>
  </w:style>
  <w:style w:type="paragraph" w:styleId="Notedebasdepage">
    <w:name w:val="footnote text"/>
    <w:basedOn w:val="Normal"/>
    <w:link w:val="NotedebasdepageCar"/>
    <w:semiHidden/>
    <w:unhideWhenUsed/>
    <w:rsid w:val="00AD06CE"/>
    <w:pPr>
      <w:spacing w:after="0" w:line="240" w:lineRule="auto"/>
    </w:pPr>
    <w:rPr>
      <w:rFonts w:ascii="Arial" w:eastAsia="Times New Roman" w:hAnsi="Arial" w:cs="Arial"/>
      <w:szCs w:val="20"/>
      <w:lang w:eastAsia="fr-FR"/>
    </w:rPr>
  </w:style>
  <w:style w:type="character" w:customStyle="1" w:styleId="NotedebasdepageCar">
    <w:name w:val="Note de bas de page Car"/>
    <w:basedOn w:val="Policepardfaut"/>
    <w:link w:val="Notedebasdepage"/>
    <w:semiHidden/>
    <w:rsid w:val="00AD06CE"/>
    <w:rPr>
      <w:rFonts w:ascii="Arial" w:eastAsia="Times New Roman" w:hAnsi="Arial" w:cs="Arial"/>
      <w:szCs w:val="20"/>
      <w:lang w:eastAsia="fr-FR"/>
    </w:rPr>
  </w:style>
  <w:style w:type="character" w:styleId="Appelnotedebasdep">
    <w:name w:val="footnote reference"/>
    <w:basedOn w:val="Policepardfaut"/>
    <w:semiHidden/>
    <w:unhideWhenUsed/>
    <w:rsid w:val="00AD06CE"/>
    <w:rPr>
      <w:vertAlign w:val="superscript"/>
    </w:rPr>
  </w:style>
  <w:style w:type="paragraph" w:styleId="Textedebulles">
    <w:name w:val="Balloon Text"/>
    <w:basedOn w:val="Normal"/>
    <w:link w:val="TextedebullesCar"/>
    <w:uiPriority w:val="99"/>
    <w:semiHidden/>
    <w:unhideWhenUsed/>
    <w:rsid w:val="00662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1E6"/>
    <w:rPr>
      <w:rFonts w:ascii="Tahoma" w:hAnsi="Tahoma" w:cs="Tahoma"/>
      <w:sz w:val="16"/>
      <w:szCs w:val="16"/>
    </w:rPr>
  </w:style>
  <w:style w:type="paragraph" w:styleId="Lgende">
    <w:name w:val="caption"/>
    <w:basedOn w:val="Normal"/>
    <w:next w:val="Normal"/>
    <w:uiPriority w:val="35"/>
    <w:unhideWhenUsed/>
    <w:qFormat/>
    <w:rsid w:val="00875B62"/>
    <w:pPr>
      <w:spacing w:after="120" w:line="240" w:lineRule="auto"/>
      <w:jc w:val="center"/>
    </w:pPr>
    <w:rPr>
      <w:rFonts w:ascii="Arial" w:hAnsi="Arial" w:cs="Arial"/>
      <w:b/>
      <w:bCs/>
      <w:sz w:val="18"/>
      <w:szCs w:val="18"/>
    </w:rPr>
  </w:style>
  <w:style w:type="paragraph" w:styleId="Commentaire">
    <w:name w:val="annotation text"/>
    <w:basedOn w:val="Normal"/>
    <w:link w:val="CommentaireCar"/>
    <w:unhideWhenUsed/>
    <w:rsid w:val="004C48D4"/>
    <w:pPr>
      <w:keepLines/>
      <w:widowControl w:val="0"/>
      <w:tabs>
        <w:tab w:val="left" w:pos="2268"/>
        <w:tab w:val="left" w:pos="4536"/>
        <w:tab w:val="left" w:pos="6804"/>
      </w:tabs>
      <w:spacing w:after="0" w:line="240" w:lineRule="auto"/>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4C48D4"/>
    <w:rPr>
      <w:rFonts w:ascii="Times New Roman" w:eastAsia="Times New Roman" w:hAnsi="Times New Roman" w:cs="Times New Roman"/>
      <w:sz w:val="20"/>
      <w:szCs w:val="20"/>
      <w:lang w:eastAsia="fr-FR"/>
    </w:rPr>
  </w:style>
  <w:style w:type="character" w:customStyle="1" w:styleId="Lgende1Car">
    <w:name w:val="Légende1 Car"/>
    <w:basedOn w:val="Policepardfaut"/>
    <w:link w:val="Lgende1"/>
    <w:locked/>
    <w:rsid w:val="004C48D4"/>
    <w:rPr>
      <w:rFonts w:ascii="Arial" w:hAnsi="Arial" w:cs="Arial"/>
      <w:b/>
      <w:i/>
    </w:rPr>
  </w:style>
  <w:style w:type="paragraph" w:customStyle="1" w:styleId="Lgende1">
    <w:name w:val="Légende1"/>
    <w:basedOn w:val="Lgende"/>
    <w:link w:val="Lgende1Car"/>
    <w:qFormat/>
    <w:rsid w:val="004C48D4"/>
    <w:pPr>
      <w:spacing w:after="0"/>
    </w:pPr>
    <w:rPr>
      <w:bCs w:val="0"/>
      <w:i/>
      <w:sz w:val="22"/>
      <w:szCs w:val="22"/>
    </w:rPr>
  </w:style>
  <w:style w:type="paragraph" w:customStyle="1" w:styleId="Tableautitre">
    <w:name w:val="Tableau titre"/>
    <w:basedOn w:val="Normal"/>
    <w:rsid w:val="004C48D4"/>
    <w:pPr>
      <w:keepLines/>
      <w:tabs>
        <w:tab w:val="left" w:pos="2268"/>
        <w:tab w:val="left" w:pos="4536"/>
        <w:tab w:val="left" w:pos="6804"/>
      </w:tabs>
      <w:overflowPunct w:val="0"/>
      <w:autoSpaceDE w:val="0"/>
      <w:autoSpaceDN w:val="0"/>
      <w:adjustRightInd w:val="0"/>
      <w:spacing w:before="80" w:after="80" w:line="240" w:lineRule="auto"/>
      <w:jc w:val="center"/>
    </w:pPr>
    <w:rPr>
      <w:rFonts w:ascii="Arial" w:eastAsia="Times New Roman" w:hAnsi="Arial" w:cs="Times New Roman"/>
      <w:b/>
      <w:sz w:val="20"/>
      <w:szCs w:val="24"/>
      <w:lang w:eastAsia="fr-FR"/>
    </w:rPr>
  </w:style>
  <w:style w:type="paragraph" w:customStyle="1" w:styleId="Tableau">
    <w:name w:val="Tableau"/>
    <w:basedOn w:val="Normal"/>
    <w:rsid w:val="004C48D4"/>
    <w:pPr>
      <w:keepLines/>
      <w:tabs>
        <w:tab w:val="left" w:pos="2268"/>
        <w:tab w:val="left" w:pos="4536"/>
        <w:tab w:val="left" w:pos="6804"/>
      </w:tabs>
      <w:overflowPunct w:val="0"/>
      <w:autoSpaceDE w:val="0"/>
      <w:autoSpaceDN w:val="0"/>
      <w:adjustRightInd w:val="0"/>
      <w:spacing w:before="80" w:after="80" w:line="240" w:lineRule="auto"/>
      <w:jc w:val="center"/>
    </w:pPr>
    <w:rPr>
      <w:rFonts w:ascii="Arial Narrow" w:eastAsia="Times New Roman" w:hAnsi="Arial Narrow" w:cs="Times New Roman"/>
      <w:sz w:val="20"/>
      <w:szCs w:val="24"/>
      <w:lang w:eastAsia="fr-FR"/>
    </w:rPr>
  </w:style>
  <w:style w:type="paragraph" w:styleId="En-tte">
    <w:name w:val="header"/>
    <w:basedOn w:val="Normal"/>
    <w:link w:val="En-tteCar"/>
    <w:uiPriority w:val="99"/>
    <w:semiHidden/>
    <w:unhideWhenUsed/>
    <w:rsid w:val="00D139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3942"/>
  </w:style>
  <w:style w:type="paragraph" w:styleId="Pieddepage">
    <w:name w:val="footer"/>
    <w:basedOn w:val="Normal"/>
    <w:link w:val="PieddepageCar"/>
    <w:uiPriority w:val="99"/>
    <w:semiHidden/>
    <w:unhideWhenUsed/>
    <w:rsid w:val="00D139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13942"/>
  </w:style>
</w:styles>
</file>

<file path=word/webSettings.xml><?xml version="1.0" encoding="utf-8"?>
<w:webSettings xmlns:r="http://schemas.openxmlformats.org/officeDocument/2006/relationships" xmlns:w="http://schemas.openxmlformats.org/wordprocessingml/2006/main">
  <w:divs>
    <w:div w:id="149565298">
      <w:bodyDiv w:val="1"/>
      <w:marLeft w:val="0"/>
      <w:marRight w:val="0"/>
      <w:marTop w:val="0"/>
      <w:marBottom w:val="0"/>
      <w:divBdr>
        <w:top w:val="none" w:sz="0" w:space="0" w:color="auto"/>
        <w:left w:val="none" w:sz="0" w:space="0" w:color="auto"/>
        <w:bottom w:val="none" w:sz="0" w:space="0" w:color="auto"/>
        <w:right w:val="none" w:sz="0" w:space="0" w:color="auto"/>
      </w:divBdr>
    </w:div>
    <w:div w:id="242567723">
      <w:bodyDiv w:val="1"/>
      <w:marLeft w:val="0"/>
      <w:marRight w:val="0"/>
      <w:marTop w:val="0"/>
      <w:marBottom w:val="0"/>
      <w:divBdr>
        <w:top w:val="none" w:sz="0" w:space="0" w:color="auto"/>
        <w:left w:val="none" w:sz="0" w:space="0" w:color="auto"/>
        <w:bottom w:val="none" w:sz="0" w:space="0" w:color="auto"/>
        <w:right w:val="none" w:sz="0" w:space="0" w:color="auto"/>
      </w:divBdr>
    </w:div>
    <w:div w:id="308443148">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82290501">
      <w:bodyDiv w:val="1"/>
      <w:marLeft w:val="0"/>
      <w:marRight w:val="0"/>
      <w:marTop w:val="0"/>
      <w:marBottom w:val="0"/>
      <w:divBdr>
        <w:top w:val="none" w:sz="0" w:space="0" w:color="auto"/>
        <w:left w:val="none" w:sz="0" w:space="0" w:color="auto"/>
        <w:bottom w:val="none" w:sz="0" w:space="0" w:color="auto"/>
        <w:right w:val="none" w:sz="0" w:space="0" w:color="auto"/>
      </w:divBdr>
    </w:div>
    <w:div w:id="476144707">
      <w:bodyDiv w:val="1"/>
      <w:marLeft w:val="0"/>
      <w:marRight w:val="0"/>
      <w:marTop w:val="0"/>
      <w:marBottom w:val="0"/>
      <w:divBdr>
        <w:top w:val="none" w:sz="0" w:space="0" w:color="auto"/>
        <w:left w:val="none" w:sz="0" w:space="0" w:color="auto"/>
        <w:bottom w:val="none" w:sz="0" w:space="0" w:color="auto"/>
        <w:right w:val="none" w:sz="0" w:space="0" w:color="auto"/>
      </w:divBdr>
    </w:div>
    <w:div w:id="661086513">
      <w:bodyDiv w:val="1"/>
      <w:marLeft w:val="0"/>
      <w:marRight w:val="0"/>
      <w:marTop w:val="0"/>
      <w:marBottom w:val="0"/>
      <w:divBdr>
        <w:top w:val="none" w:sz="0" w:space="0" w:color="auto"/>
        <w:left w:val="none" w:sz="0" w:space="0" w:color="auto"/>
        <w:bottom w:val="none" w:sz="0" w:space="0" w:color="auto"/>
        <w:right w:val="none" w:sz="0" w:space="0" w:color="auto"/>
      </w:divBdr>
    </w:div>
    <w:div w:id="837690866">
      <w:bodyDiv w:val="1"/>
      <w:marLeft w:val="0"/>
      <w:marRight w:val="0"/>
      <w:marTop w:val="0"/>
      <w:marBottom w:val="0"/>
      <w:divBdr>
        <w:top w:val="none" w:sz="0" w:space="0" w:color="auto"/>
        <w:left w:val="none" w:sz="0" w:space="0" w:color="auto"/>
        <w:bottom w:val="none" w:sz="0" w:space="0" w:color="auto"/>
        <w:right w:val="none" w:sz="0" w:space="0" w:color="auto"/>
      </w:divBdr>
    </w:div>
    <w:div w:id="910503492">
      <w:bodyDiv w:val="1"/>
      <w:marLeft w:val="0"/>
      <w:marRight w:val="0"/>
      <w:marTop w:val="0"/>
      <w:marBottom w:val="0"/>
      <w:divBdr>
        <w:top w:val="none" w:sz="0" w:space="0" w:color="auto"/>
        <w:left w:val="none" w:sz="0" w:space="0" w:color="auto"/>
        <w:bottom w:val="none" w:sz="0" w:space="0" w:color="auto"/>
        <w:right w:val="none" w:sz="0" w:space="0" w:color="auto"/>
      </w:divBdr>
    </w:div>
    <w:div w:id="1102531186">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70369176">
      <w:bodyDiv w:val="1"/>
      <w:marLeft w:val="0"/>
      <w:marRight w:val="0"/>
      <w:marTop w:val="0"/>
      <w:marBottom w:val="0"/>
      <w:divBdr>
        <w:top w:val="none" w:sz="0" w:space="0" w:color="auto"/>
        <w:left w:val="none" w:sz="0" w:space="0" w:color="auto"/>
        <w:bottom w:val="none" w:sz="0" w:space="0" w:color="auto"/>
        <w:right w:val="none" w:sz="0" w:space="0" w:color="auto"/>
      </w:divBdr>
    </w:div>
    <w:div w:id="1171917708">
      <w:bodyDiv w:val="1"/>
      <w:marLeft w:val="0"/>
      <w:marRight w:val="0"/>
      <w:marTop w:val="0"/>
      <w:marBottom w:val="0"/>
      <w:divBdr>
        <w:top w:val="none" w:sz="0" w:space="0" w:color="auto"/>
        <w:left w:val="none" w:sz="0" w:space="0" w:color="auto"/>
        <w:bottom w:val="none" w:sz="0" w:space="0" w:color="auto"/>
        <w:right w:val="none" w:sz="0" w:space="0" w:color="auto"/>
      </w:divBdr>
    </w:div>
    <w:div w:id="1254628668">
      <w:bodyDiv w:val="1"/>
      <w:marLeft w:val="0"/>
      <w:marRight w:val="0"/>
      <w:marTop w:val="0"/>
      <w:marBottom w:val="0"/>
      <w:divBdr>
        <w:top w:val="none" w:sz="0" w:space="0" w:color="auto"/>
        <w:left w:val="none" w:sz="0" w:space="0" w:color="auto"/>
        <w:bottom w:val="none" w:sz="0" w:space="0" w:color="auto"/>
        <w:right w:val="none" w:sz="0" w:space="0" w:color="auto"/>
      </w:divBdr>
    </w:div>
    <w:div w:id="1293900399">
      <w:bodyDiv w:val="1"/>
      <w:marLeft w:val="0"/>
      <w:marRight w:val="0"/>
      <w:marTop w:val="0"/>
      <w:marBottom w:val="0"/>
      <w:divBdr>
        <w:top w:val="none" w:sz="0" w:space="0" w:color="auto"/>
        <w:left w:val="none" w:sz="0" w:space="0" w:color="auto"/>
        <w:bottom w:val="none" w:sz="0" w:space="0" w:color="auto"/>
        <w:right w:val="none" w:sz="0" w:space="0" w:color="auto"/>
      </w:divBdr>
    </w:div>
    <w:div w:id="1307198222">
      <w:bodyDiv w:val="1"/>
      <w:marLeft w:val="0"/>
      <w:marRight w:val="0"/>
      <w:marTop w:val="0"/>
      <w:marBottom w:val="0"/>
      <w:divBdr>
        <w:top w:val="none" w:sz="0" w:space="0" w:color="auto"/>
        <w:left w:val="none" w:sz="0" w:space="0" w:color="auto"/>
        <w:bottom w:val="none" w:sz="0" w:space="0" w:color="auto"/>
        <w:right w:val="none" w:sz="0" w:space="0" w:color="auto"/>
      </w:divBdr>
    </w:div>
    <w:div w:id="1318068877">
      <w:bodyDiv w:val="1"/>
      <w:marLeft w:val="0"/>
      <w:marRight w:val="0"/>
      <w:marTop w:val="0"/>
      <w:marBottom w:val="0"/>
      <w:divBdr>
        <w:top w:val="none" w:sz="0" w:space="0" w:color="auto"/>
        <w:left w:val="none" w:sz="0" w:space="0" w:color="auto"/>
        <w:bottom w:val="none" w:sz="0" w:space="0" w:color="auto"/>
        <w:right w:val="none" w:sz="0" w:space="0" w:color="auto"/>
      </w:divBdr>
    </w:div>
    <w:div w:id="1371760368">
      <w:bodyDiv w:val="1"/>
      <w:marLeft w:val="0"/>
      <w:marRight w:val="0"/>
      <w:marTop w:val="0"/>
      <w:marBottom w:val="0"/>
      <w:divBdr>
        <w:top w:val="none" w:sz="0" w:space="0" w:color="auto"/>
        <w:left w:val="none" w:sz="0" w:space="0" w:color="auto"/>
        <w:bottom w:val="none" w:sz="0" w:space="0" w:color="auto"/>
        <w:right w:val="none" w:sz="0" w:space="0" w:color="auto"/>
      </w:divBdr>
    </w:div>
    <w:div w:id="1539127868">
      <w:bodyDiv w:val="1"/>
      <w:marLeft w:val="0"/>
      <w:marRight w:val="0"/>
      <w:marTop w:val="0"/>
      <w:marBottom w:val="0"/>
      <w:divBdr>
        <w:top w:val="none" w:sz="0" w:space="0" w:color="auto"/>
        <w:left w:val="none" w:sz="0" w:space="0" w:color="auto"/>
        <w:bottom w:val="none" w:sz="0" w:space="0" w:color="auto"/>
        <w:right w:val="none" w:sz="0" w:space="0" w:color="auto"/>
      </w:divBdr>
    </w:div>
    <w:div w:id="1629898284">
      <w:bodyDiv w:val="1"/>
      <w:marLeft w:val="0"/>
      <w:marRight w:val="0"/>
      <w:marTop w:val="0"/>
      <w:marBottom w:val="0"/>
      <w:divBdr>
        <w:top w:val="none" w:sz="0" w:space="0" w:color="auto"/>
        <w:left w:val="none" w:sz="0" w:space="0" w:color="auto"/>
        <w:bottom w:val="none" w:sz="0" w:space="0" w:color="auto"/>
        <w:right w:val="none" w:sz="0" w:space="0" w:color="auto"/>
      </w:divBdr>
    </w:div>
    <w:div w:id="1652752884">
      <w:bodyDiv w:val="1"/>
      <w:marLeft w:val="0"/>
      <w:marRight w:val="0"/>
      <w:marTop w:val="0"/>
      <w:marBottom w:val="0"/>
      <w:divBdr>
        <w:top w:val="none" w:sz="0" w:space="0" w:color="auto"/>
        <w:left w:val="none" w:sz="0" w:space="0" w:color="auto"/>
        <w:bottom w:val="none" w:sz="0" w:space="0" w:color="auto"/>
        <w:right w:val="none" w:sz="0" w:space="0" w:color="auto"/>
      </w:divBdr>
    </w:div>
    <w:div w:id="1687445301">
      <w:bodyDiv w:val="1"/>
      <w:marLeft w:val="0"/>
      <w:marRight w:val="0"/>
      <w:marTop w:val="0"/>
      <w:marBottom w:val="0"/>
      <w:divBdr>
        <w:top w:val="none" w:sz="0" w:space="0" w:color="auto"/>
        <w:left w:val="none" w:sz="0" w:space="0" w:color="auto"/>
        <w:bottom w:val="none" w:sz="0" w:space="0" w:color="auto"/>
        <w:right w:val="none" w:sz="0" w:space="0" w:color="auto"/>
      </w:divBdr>
    </w:div>
    <w:div w:id="1770393083">
      <w:bodyDiv w:val="1"/>
      <w:marLeft w:val="0"/>
      <w:marRight w:val="0"/>
      <w:marTop w:val="0"/>
      <w:marBottom w:val="0"/>
      <w:divBdr>
        <w:top w:val="none" w:sz="0" w:space="0" w:color="auto"/>
        <w:left w:val="none" w:sz="0" w:space="0" w:color="auto"/>
        <w:bottom w:val="none" w:sz="0" w:space="0" w:color="auto"/>
        <w:right w:val="none" w:sz="0" w:space="0" w:color="auto"/>
      </w:divBdr>
    </w:div>
    <w:div w:id="1793940092">
      <w:bodyDiv w:val="1"/>
      <w:marLeft w:val="0"/>
      <w:marRight w:val="0"/>
      <w:marTop w:val="0"/>
      <w:marBottom w:val="0"/>
      <w:divBdr>
        <w:top w:val="none" w:sz="0" w:space="0" w:color="auto"/>
        <w:left w:val="none" w:sz="0" w:space="0" w:color="auto"/>
        <w:bottom w:val="none" w:sz="0" w:space="0" w:color="auto"/>
        <w:right w:val="none" w:sz="0" w:space="0" w:color="auto"/>
      </w:divBdr>
    </w:div>
    <w:div w:id="1870337708">
      <w:bodyDiv w:val="1"/>
      <w:marLeft w:val="0"/>
      <w:marRight w:val="0"/>
      <w:marTop w:val="0"/>
      <w:marBottom w:val="0"/>
      <w:divBdr>
        <w:top w:val="none" w:sz="0" w:space="0" w:color="auto"/>
        <w:left w:val="none" w:sz="0" w:space="0" w:color="auto"/>
        <w:bottom w:val="none" w:sz="0" w:space="0" w:color="auto"/>
        <w:right w:val="none" w:sz="0" w:space="0" w:color="auto"/>
      </w:divBdr>
    </w:div>
    <w:div w:id="1905873298">
      <w:bodyDiv w:val="1"/>
      <w:marLeft w:val="0"/>
      <w:marRight w:val="0"/>
      <w:marTop w:val="0"/>
      <w:marBottom w:val="0"/>
      <w:divBdr>
        <w:top w:val="none" w:sz="0" w:space="0" w:color="auto"/>
        <w:left w:val="none" w:sz="0" w:space="0" w:color="auto"/>
        <w:bottom w:val="none" w:sz="0" w:space="0" w:color="auto"/>
        <w:right w:val="none" w:sz="0" w:space="0" w:color="auto"/>
      </w:divBdr>
    </w:div>
    <w:div w:id="1992438767">
      <w:bodyDiv w:val="1"/>
      <w:marLeft w:val="0"/>
      <w:marRight w:val="0"/>
      <w:marTop w:val="0"/>
      <w:marBottom w:val="0"/>
      <w:divBdr>
        <w:top w:val="none" w:sz="0" w:space="0" w:color="auto"/>
        <w:left w:val="none" w:sz="0" w:space="0" w:color="auto"/>
        <w:bottom w:val="none" w:sz="0" w:space="0" w:color="auto"/>
        <w:right w:val="none" w:sz="0" w:space="0" w:color="auto"/>
      </w:divBdr>
    </w:div>
    <w:div w:id="20093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C:\Program%20Files%20(x86)\Microsoft%20Office\Office12\APAVE\APPLIS\LOGOS\apave-couleur4cm.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file:///C:\Program%20Files%20(x86)\Microsoft%20Office\Office12\APAVE\APPLIS\LOGOS\apave-couleur4cm.jpg" TargetMode="External"/></Relationships>
</file>

<file path=word/_rels/footer3.xml.rels><?xml version="1.0" encoding="UTF-8" standalone="yes"?>
<Relationships xmlns="http://schemas.openxmlformats.org/package/2006/relationships"><Relationship Id="rId1" Type="http://schemas.openxmlformats.org/officeDocument/2006/relationships/image" Target="file:///C:\Program%20Files%20(x86)\Microsoft%20Office\Office12\APAVE\APPLIS\LOGOS\apave-couleur4c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6F4DC-7C4F-4B20-A96E-6D16A2AB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11</Pages>
  <Words>2766</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Apave</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Granger</dc:creator>
  <cp:lastModifiedBy>A3600423</cp:lastModifiedBy>
  <cp:revision>11</cp:revision>
  <cp:lastPrinted>2020-06-18T12:57:00Z</cp:lastPrinted>
  <dcterms:created xsi:type="dcterms:W3CDTF">2020-06-18T12:58:00Z</dcterms:created>
  <dcterms:modified xsi:type="dcterms:W3CDTF">2021-01-05T17:24:00Z</dcterms:modified>
</cp:coreProperties>
</file>